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2C33" w14:textId="77777777" w:rsidR="005B5C0F" w:rsidRDefault="005B5C0F" w:rsidP="00F80C88">
      <w:pPr>
        <w:pStyle w:val="Paragraphedeliste"/>
        <w:ind w:left="0"/>
        <w:jc w:val="both"/>
      </w:pPr>
    </w:p>
    <w:p w14:paraId="3F123796" w14:textId="1EDB1F88" w:rsidR="00F80C88" w:rsidRDefault="003669F6" w:rsidP="00F27A04">
      <w:pPr>
        <w:jc w:val="both"/>
        <w:rPr>
          <w:rFonts w:eastAsia="Times New Roman"/>
          <w:b/>
          <w:bCs/>
          <w:sz w:val="34"/>
          <w:szCs w:val="34"/>
          <w:lang w:eastAsia="fr-FR"/>
        </w:rPr>
      </w:pPr>
      <w:r w:rsidRPr="002808C4">
        <w:rPr>
          <w:rFonts w:eastAsia="Times New Roman"/>
          <w:b/>
          <w:bCs/>
          <w:sz w:val="34"/>
          <w:szCs w:val="34"/>
          <w:lang w:eastAsia="fr-FR"/>
        </w:rPr>
        <w:t xml:space="preserve">Évaluation provinciale de la résistance de champignons phytopathogènes aux traitements antifongiques au Québec : analyse des groupes de fongicides ciblés chez </w:t>
      </w:r>
      <w:r w:rsidRPr="00C24A6C">
        <w:rPr>
          <w:rFonts w:eastAsia="Times New Roman"/>
          <w:b/>
          <w:bCs/>
          <w:i/>
          <w:iCs/>
          <w:sz w:val="34"/>
          <w:szCs w:val="34"/>
          <w:lang w:eastAsia="fr-FR"/>
        </w:rPr>
        <w:t>Botrytis cinerea</w:t>
      </w:r>
      <w:r w:rsidRPr="002808C4">
        <w:rPr>
          <w:rFonts w:eastAsia="Times New Roman"/>
          <w:b/>
          <w:bCs/>
          <w:sz w:val="34"/>
          <w:szCs w:val="34"/>
          <w:lang w:eastAsia="fr-FR"/>
        </w:rPr>
        <w:t xml:space="preserve"> et </w:t>
      </w:r>
      <w:proofErr w:type="spellStart"/>
      <w:r w:rsidRPr="00C24A6C">
        <w:rPr>
          <w:rFonts w:eastAsia="Times New Roman"/>
          <w:b/>
          <w:bCs/>
          <w:i/>
          <w:iCs/>
          <w:sz w:val="34"/>
          <w:szCs w:val="34"/>
          <w:lang w:eastAsia="fr-FR"/>
        </w:rPr>
        <w:t>Colletotrichum</w:t>
      </w:r>
      <w:proofErr w:type="spellEnd"/>
      <w:r w:rsidRPr="002808C4">
        <w:rPr>
          <w:rFonts w:eastAsia="Times New Roman"/>
          <w:b/>
          <w:bCs/>
          <w:sz w:val="34"/>
          <w:szCs w:val="34"/>
          <w:lang w:eastAsia="fr-FR"/>
        </w:rPr>
        <w:t xml:space="preserve"> </w:t>
      </w:r>
      <w:proofErr w:type="spellStart"/>
      <w:r w:rsidRPr="002808C4">
        <w:rPr>
          <w:rFonts w:eastAsia="Times New Roman"/>
          <w:b/>
          <w:bCs/>
          <w:sz w:val="34"/>
          <w:szCs w:val="34"/>
          <w:lang w:eastAsia="fr-FR"/>
        </w:rPr>
        <w:t>spp</w:t>
      </w:r>
      <w:proofErr w:type="spellEnd"/>
      <w:r w:rsidRPr="002808C4">
        <w:rPr>
          <w:rFonts w:eastAsia="Times New Roman"/>
          <w:b/>
          <w:bCs/>
          <w:sz w:val="34"/>
          <w:szCs w:val="34"/>
          <w:lang w:eastAsia="fr-FR"/>
        </w:rPr>
        <w:t xml:space="preserve">. </w:t>
      </w:r>
      <w:proofErr w:type="gramStart"/>
      <w:r w:rsidRPr="002808C4">
        <w:rPr>
          <w:rFonts w:eastAsia="Times New Roman"/>
          <w:b/>
          <w:bCs/>
          <w:sz w:val="34"/>
          <w:szCs w:val="34"/>
          <w:lang w:eastAsia="fr-FR"/>
        </w:rPr>
        <w:t>dans</w:t>
      </w:r>
      <w:proofErr w:type="gramEnd"/>
      <w:r w:rsidRPr="002808C4">
        <w:rPr>
          <w:rFonts w:eastAsia="Times New Roman"/>
          <w:b/>
          <w:bCs/>
          <w:sz w:val="34"/>
          <w:szCs w:val="34"/>
          <w:lang w:eastAsia="fr-FR"/>
        </w:rPr>
        <w:t xml:space="preserve"> les petits fruits et la vigne</w:t>
      </w:r>
    </w:p>
    <w:p w14:paraId="77AEB483" w14:textId="77777777" w:rsidR="005A7207" w:rsidRDefault="005A7207" w:rsidP="005A7207">
      <w:pPr>
        <w:rPr>
          <w:rFonts w:eastAsia="Times New Roman"/>
          <w:spacing w:val="-4"/>
          <w:lang w:eastAsia="fr-FR"/>
        </w:rPr>
      </w:pPr>
    </w:p>
    <w:p w14:paraId="3E6EFB16" w14:textId="77777777" w:rsidR="00896B9F" w:rsidRDefault="00896B9F" w:rsidP="005A7207">
      <w:pPr>
        <w:rPr>
          <w:rFonts w:eastAsia="Times New Roman"/>
          <w:spacing w:val="-4"/>
          <w:lang w:eastAsia="fr-FR"/>
        </w:rPr>
      </w:pPr>
    </w:p>
    <w:p w14:paraId="0E2EA0BC" w14:textId="2640D288" w:rsidR="005A7207" w:rsidRDefault="008D5B48" w:rsidP="005A7207">
      <w:pPr>
        <w:rPr>
          <w:rFonts w:eastAsia="Times New Roman"/>
          <w:spacing w:val="-4"/>
          <w:lang w:eastAsia="fr-FR"/>
        </w:rPr>
      </w:pPr>
      <w:r w:rsidRPr="00B439DF">
        <w:rPr>
          <w:rFonts w:eastAsia="Times New Roman"/>
          <w:b/>
          <w:bCs/>
          <w:spacing w:val="-4"/>
          <w:lang w:eastAsia="fr-FR"/>
        </w:rPr>
        <w:t>Points à retenir</w:t>
      </w:r>
      <w:r>
        <w:rPr>
          <w:rFonts w:eastAsia="Times New Roman"/>
          <w:spacing w:val="-4"/>
          <w:lang w:eastAsia="fr-FR"/>
        </w:rPr>
        <w:t> :</w:t>
      </w:r>
    </w:p>
    <w:p w14:paraId="65CC7056" w14:textId="77777777" w:rsidR="004B0A75" w:rsidRPr="00EC5748" w:rsidRDefault="004B0A75" w:rsidP="004B0A75">
      <w:pPr>
        <w:pStyle w:val="Paragraphedeliste"/>
        <w:numPr>
          <w:ilvl w:val="0"/>
          <w:numId w:val="4"/>
        </w:numPr>
        <w:tabs>
          <w:tab w:val="num" w:pos="360"/>
        </w:tabs>
        <w:spacing w:line="276" w:lineRule="auto"/>
        <w:ind w:left="284"/>
        <w:rPr>
          <w:rFonts w:eastAsia="MS Mincho"/>
        </w:rPr>
      </w:pPr>
      <w:r w:rsidRPr="00EC5748">
        <w:rPr>
          <w:rFonts w:eastAsia="MS Mincho"/>
        </w:rPr>
        <w:t>86 % des échantillons analysés présentaient une résistance à au moins un groupe des fongicides ciblés dans l’étude;</w:t>
      </w:r>
    </w:p>
    <w:p w14:paraId="6EFE8727" w14:textId="77777777" w:rsidR="004B0A75" w:rsidRPr="00EC5748" w:rsidRDefault="004B0A75" w:rsidP="004B0A75">
      <w:pPr>
        <w:pStyle w:val="Paragraphedeliste"/>
        <w:numPr>
          <w:ilvl w:val="0"/>
          <w:numId w:val="4"/>
        </w:numPr>
        <w:tabs>
          <w:tab w:val="num" w:pos="360"/>
        </w:tabs>
        <w:spacing w:line="276" w:lineRule="auto"/>
        <w:ind w:left="284"/>
        <w:rPr>
          <w:rFonts w:eastAsia="MS Mincho"/>
        </w:rPr>
      </w:pPr>
      <w:r w:rsidRPr="00EC5748">
        <w:rPr>
          <w:rFonts w:eastAsia="MS Mincho"/>
        </w:rPr>
        <w:t>51 % des souches résistantes montraient une multirésistance à au moins deux groupes de fongicides (établis par la FRAC);</w:t>
      </w:r>
    </w:p>
    <w:p w14:paraId="3593E34C" w14:textId="77777777" w:rsidR="004B0A75" w:rsidRPr="00EC5748" w:rsidRDefault="004B0A75" w:rsidP="004B0A75">
      <w:pPr>
        <w:pStyle w:val="Paragraphedeliste"/>
        <w:numPr>
          <w:ilvl w:val="0"/>
          <w:numId w:val="4"/>
        </w:numPr>
        <w:tabs>
          <w:tab w:val="num" w:pos="360"/>
        </w:tabs>
        <w:spacing w:line="276" w:lineRule="auto"/>
        <w:ind w:left="284"/>
        <w:rPr>
          <w:rFonts w:eastAsia="MS Mincho"/>
        </w:rPr>
      </w:pPr>
      <w:r w:rsidRPr="00EC5748">
        <w:rPr>
          <w:rFonts w:eastAsia="MS Mincho"/>
        </w:rPr>
        <w:t xml:space="preserve">Chez </w:t>
      </w:r>
      <w:r w:rsidRPr="00EC5748">
        <w:rPr>
          <w:rFonts w:eastAsia="MS Mincho"/>
          <w:i/>
          <w:iCs/>
        </w:rPr>
        <w:t>Botrytis cinerea</w:t>
      </w:r>
      <w:r w:rsidRPr="00EC5748">
        <w:rPr>
          <w:rFonts w:eastAsia="MS Mincho"/>
        </w:rPr>
        <w:t>, les groupes de fongicides 11 et 7 sont ceux pour lesquels les cas de résistance confirmés sont les plus nombreux ;</w:t>
      </w:r>
    </w:p>
    <w:p w14:paraId="0583A577" w14:textId="77777777" w:rsidR="004B0A75" w:rsidRPr="00EC5748" w:rsidRDefault="004B0A75" w:rsidP="004B0A75">
      <w:pPr>
        <w:pStyle w:val="Paragraphedeliste"/>
        <w:numPr>
          <w:ilvl w:val="0"/>
          <w:numId w:val="4"/>
        </w:numPr>
        <w:tabs>
          <w:tab w:val="num" w:pos="360"/>
        </w:tabs>
        <w:spacing w:line="276" w:lineRule="auto"/>
        <w:ind w:left="284"/>
        <w:rPr>
          <w:rFonts w:eastAsia="MS Mincho"/>
        </w:rPr>
      </w:pPr>
      <w:r w:rsidRPr="00EC5748">
        <w:rPr>
          <w:rFonts w:eastAsia="MS Mincho"/>
        </w:rPr>
        <w:t xml:space="preserve">Chez </w:t>
      </w:r>
      <w:proofErr w:type="spellStart"/>
      <w:r w:rsidRPr="00EC5748">
        <w:rPr>
          <w:rFonts w:eastAsia="MS Mincho"/>
          <w:i/>
          <w:iCs/>
        </w:rPr>
        <w:t>Colletotrichum</w:t>
      </w:r>
      <w:proofErr w:type="spellEnd"/>
      <w:r w:rsidRPr="00EC5748">
        <w:rPr>
          <w:rFonts w:eastAsia="MS Mincho"/>
          <w:i/>
          <w:iCs/>
        </w:rPr>
        <w:t xml:space="preserve"> </w:t>
      </w:r>
      <w:proofErr w:type="spellStart"/>
      <w:r w:rsidRPr="00EC5748">
        <w:rPr>
          <w:rFonts w:eastAsia="MS Mincho"/>
        </w:rPr>
        <w:t>spp</w:t>
      </w:r>
      <w:proofErr w:type="spellEnd"/>
      <w:r w:rsidRPr="00EC5748">
        <w:rPr>
          <w:rFonts w:eastAsia="MS Mincho"/>
        </w:rPr>
        <w:t>., une perte de sensibilité aux fongicides du groupe 7 a été observée, suggérant une résistance au sein des populations étudiées.</w:t>
      </w:r>
    </w:p>
    <w:p w14:paraId="266F8B51" w14:textId="77777777" w:rsidR="004B0A75" w:rsidRDefault="004B0A75" w:rsidP="004B0A75">
      <w:pPr>
        <w:jc w:val="both"/>
        <w:rPr>
          <w:b/>
          <w:bCs/>
        </w:rPr>
      </w:pPr>
    </w:p>
    <w:p w14:paraId="4600AC6D" w14:textId="77777777" w:rsidR="00C24A6C" w:rsidRPr="00EC5748" w:rsidRDefault="00C24A6C" w:rsidP="004B0A75">
      <w:pPr>
        <w:jc w:val="both"/>
        <w:rPr>
          <w:b/>
          <w:bCs/>
        </w:rPr>
      </w:pPr>
    </w:p>
    <w:p w14:paraId="20406809" w14:textId="77777777" w:rsidR="004B0A75" w:rsidRPr="00C24A6C" w:rsidRDefault="004B0A75" w:rsidP="004B0A75">
      <w:pPr>
        <w:jc w:val="both"/>
        <w:rPr>
          <w:b/>
          <w:bCs/>
          <w:sz w:val="32"/>
          <w:szCs w:val="32"/>
        </w:rPr>
      </w:pPr>
      <w:r w:rsidRPr="00C24A6C">
        <w:rPr>
          <w:b/>
          <w:bCs/>
          <w:sz w:val="32"/>
          <w:szCs w:val="32"/>
        </w:rPr>
        <w:t>Introduction</w:t>
      </w:r>
    </w:p>
    <w:p w14:paraId="2BAC01C7" w14:textId="77777777" w:rsidR="00F77045" w:rsidRDefault="00F77045" w:rsidP="004B0A75">
      <w:pPr>
        <w:jc w:val="both"/>
      </w:pPr>
    </w:p>
    <w:p w14:paraId="4CB88AB8" w14:textId="43082CD0" w:rsidR="006D3CC2" w:rsidRDefault="004B0A75" w:rsidP="004B0A75">
      <w:pPr>
        <w:jc w:val="both"/>
      </w:pPr>
      <w:r w:rsidRPr="00EC5748">
        <w:t xml:space="preserve">Ce document constitue une compilation des résultats des tests moléculaires réalisés sur la résistance aux fongicides détectés au Québec, entre 2023 et 2025, pour deux maladies d’importance économique majeure en production fruitière (petits fruits et vigne): </w:t>
      </w:r>
    </w:p>
    <w:p w14:paraId="46BA8B81" w14:textId="31D942A3" w:rsidR="00396974" w:rsidRDefault="004B0A75" w:rsidP="006D3CC2">
      <w:pPr>
        <w:pStyle w:val="Paragraphedeliste"/>
        <w:numPr>
          <w:ilvl w:val="0"/>
          <w:numId w:val="22"/>
        </w:numPr>
        <w:jc w:val="both"/>
      </w:pPr>
      <w:proofErr w:type="gramStart"/>
      <w:r w:rsidRPr="00EC5748">
        <w:t>la</w:t>
      </w:r>
      <w:proofErr w:type="gramEnd"/>
      <w:r w:rsidRPr="00EC5748">
        <w:t xml:space="preserve"> moisissure grise</w:t>
      </w:r>
      <w:r w:rsidR="00396974">
        <w:t>,</w:t>
      </w:r>
      <w:r w:rsidRPr="00EC5748">
        <w:t xml:space="preserve"> causée par</w:t>
      </w:r>
      <w:r w:rsidR="00422E71">
        <w:t xml:space="preserve"> </w:t>
      </w:r>
      <w:r w:rsidR="00422E71">
        <w:rPr>
          <w:i/>
          <w:iCs/>
        </w:rPr>
        <w:t>Botrytis cinerea</w:t>
      </w:r>
    </w:p>
    <w:p w14:paraId="00ACA3CA" w14:textId="69E6B9EA" w:rsidR="004B0A75" w:rsidRPr="00EC5748" w:rsidRDefault="004B0A75" w:rsidP="00422E71">
      <w:pPr>
        <w:pStyle w:val="Paragraphedeliste"/>
        <w:numPr>
          <w:ilvl w:val="0"/>
          <w:numId w:val="22"/>
        </w:numPr>
        <w:jc w:val="both"/>
      </w:pPr>
      <w:proofErr w:type="gramStart"/>
      <w:r w:rsidRPr="00EC5748">
        <w:t>l’anthracnose</w:t>
      </w:r>
      <w:proofErr w:type="gramEnd"/>
      <w:r w:rsidRPr="00EC5748">
        <w:t xml:space="preserve"> ou pourriture à matur</w:t>
      </w:r>
      <w:r w:rsidR="00C70F1C">
        <w:t>it</w:t>
      </w:r>
      <w:r w:rsidRPr="00EC5748">
        <w:t>é des baies</w:t>
      </w:r>
      <w:r w:rsidR="00396974">
        <w:t>,</w:t>
      </w:r>
      <w:r w:rsidRPr="00EC5748">
        <w:t xml:space="preserve"> chez la vigne causée par </w:t>
      </w:r>
      <w:proofErr w:type="spellStart"/>
      <w:r w:rsidRPr="00422E71">
        <w:rPr>
          <w:i/>
          <w:iCs/>
        </w:rPr>
        <w:t>Colletotrichum</w:t>
      </w:r>
      <w:proofErr w:type="spellEnd"/>
      <w:r w:rsidRPr="00EC5748">
        <w:t xml:space="preserve"> </w:t>
      </w:r>
      <w:proofErr w:type="spellStart"/>
      <w:r w:rsidRPr="00EC5748">
        <w:t>spp</w:t>
      </w:r>
      <w:proofErr w:type="spellEnd"/>
      <w:r w:rsidRPr="00EC5748">
        <w:t>.</w:t>
      </w:r>
    </w:p>
    <w:p w14:paraId="7A14322E" w14:textId="77777777" w:rsidR="004B0A75" w:rsidRPr="00EC5748" w:rsidRDefault="004B0A75" w:rsidP="004B0A75">
      <w:pPr>
        <w:jc w:val="both"/>
      </w:pPr>
    </w:p>
    <w:p w14:paraId="0713E787" w14:textId="2EB9C243" w:rsidR="00B355CF" w:rsidRDefault="004B0A75" w:rsidP="004B0A75">
      <w:pPr>
        <w:jc w:val="both"/>
      </w:pPr>
      <w:r w:rsidRPr="00EC5748">
        <w:t xml:space="preserve">Les </w:t>
      </w:r>
      <w:r w:rsidR="00A3412B">
        <w:t xml:space="preserve">résultats proviennent de tests moléculaires réalisés </w:t>
      </w:r>
      <w:r w:rsidRPr="00EC5748">
        <w:t xml:space="preserve">par le Laboratoire d’expertise et de diagnostic en phytoprotection (LEDP) du MAPAQ, à </w:t>
      </w:r>
      <w:r w:rsidR="00A3412B">
        <w:t>partir d’échantillons envoyés</w:t>
      </w:r>
      <w:r w:rsidR="003011AC">
        <w:t xml:space="preserve"> </w:t>
      </w:r>
      <w:r w:rsidRPr="00EC5748">
        <w:t xml:space="preserve">par des agronomes sur le terrain. </w:t>
      </w:r>
    </w:p>
    <w:p w14:paraId="661D0A11" w14:textId="77777777" w:rsidR="00B355CF" w:rsidRDefault="00B355CF" w:rsidP="004B0A75">
      <w:pPr>
        <w:jc w:val="both"/>
      </w:pPr>
    </w:p>
    <w:p w14:paraId="73D5F895" w14:textId="676D45D6" w:rsidR="004B0A75" w:rsidRPr="00EC5748" w:rsidRDefault="004B0A75" w:rsidP="004B0A75">
      <w:pPr>
        <w:jc w:val="both"/>
      </w:pPr>
      <w:r w:rsidRPr="00EC5748">
        <w:t>L’objectif de ce document vise non seulement à décrire l’ampleur et la distribution géographique des phénomènes de résistance à certains groupes de fongicides ciblés, mais cherche également à guider l’adaptation des stratégies de lutte afin de préserver l’efficacité des outils phytosanitaires disponibles.</w:t>
      </w:r>
    </w:p>
    <w:p w14:paraId="38EB3AF4" w14:textId="02BBC137" w:rsidR="005B5C0F" w:rsidRDefault="005B5C0F">
      <w:pPr>
        <w:rPr>
          <w:rFonts w:eastAsia="Times New Roman"/>
          <w:spacing w:val="-4"/>
          <w:lang w:eastAsia="fr-FR"/>
        </w:rPr>
      </w:pPr>
    </w:p>
    <w:p w14:paraId="7E5BA38E" w14:textId="07785B93" w:rsidR="00B439DF" w:rsidRDefault="00B439DF" w:rsidP="00B439DF">
      <w:pPr>
        <w:jc w:val="both"/>
      </w:pPr>
      <w:r w:rsidRPr="00EC5748">
        <w:t>Les fongicides sont classés selon leur mode d’action</w:t>
      </w:r>
      <w:r w:rsidR="00684F98">
        <w:t>,</w:t>
      </w:r>
      <w:r w:rsidRPr="00EC5748">
        <w:t xml:space="preserve"> à l’aide du système du FRAC (</w:t>
      </w:r>
      <w:proofErr w:type="spellStart"/>
      <w:r w:rsidRPr="00EC5748">
        <w:t>Fungicide</w:t>
      </w:r>
      <w:proofErr w:type="spellEnd"/>
      <w:r w:rsidRPr="00EC5748">
        <w:t xml:space="preserve"> Resistance Action </w:t>
      </w:r>
      <w:proofErr w:type="spellStart"/>
      <w:r w:rsidRPr="00EC5748">
        <w:t>Committee</w:t>
      </w:r>
      <w:proofErr w:type="spellEnd"/>
      <w:r w:rsidRPr="00EC5748">
        <w:t>). Chaque matière active contenue dans le produit est associée à un numéro de groupe FRAC, généralement indiqué dans le haut de l’étiquette du pesticide et souvent entre parenthèses</w:t>
      </w:r>
      <w:r w:rsidR="005C71E7">
        <w:t xml:space="preserve"> (voir image ci-dessous)</w:t>
      </w:r>
      <w:r w:rsidRPr="00EC5748">
        <w:t>, dans les outils d’aide à la décision ou encore les affiches de lutte intégrée (PFI). Le numéro de groupe de fongicide permet d’identifier les produits ayant un mode d’action similaire et sert de repère pour planifier l’alternance des modes d’action des fongicides afin de limiter le développement de la résistance.</w:t>
      </w:r>
    </w:p>
    <w:p w14:paraId="52268BEE" w14:textId="77777777" w:rsidR="00730E69" w:rsidRDefault="00730E69" w:rsidP="00B439DF">
      <w:pPr>
        <w:jc w:val="both"/>
      </w:pPr>
    </w:p>
    <w:tbl>
      <w:tblPr>
        <w:tblStyle w:val="Grilledutableau"/>
        <w:tblW w:w="0" w:type="auto"/>
        <w:tblLook w:val="04A0" w:firstRow="1" w:lastRow="0" w:firstColumn="1" w:lastColumn="0" w:noHBand="0" w:noVBand="1"/>
      </w:tblPr>
      <w:tblGrid>
        <w:gridCol w:w="10528"/>
      </w:tblGrid>
      <w:tr w:rsidR="000A1365" w14:paraId="408475F3" w14:textId="77777777" w:rsidTr="00422E71">
        <w:tc>
          <w:tcPr>
            <w:tcW w:w="10528" w:type="dxa"/>
            <w:vAlign w:val="center"/>
          </w:tcPr>
          <w:p w14:paraId="4F566599" w14:textId="0D441499" w:rsidR="000A1365" w:rsidRDefault="005473A3" w:rsidP="00422E71">
            <w:pPr>
              <w:jc w:val="center"/>
            </w:pPr>
            <w:r w:rsidRPr="005473A3">
              <w:rPr>
                <w:noProof/>
              </w:rPr>
              <w:drawing>
                <wp:inline distT="0" distB="0" distL="0" distR="0" wp14:anchorId="07D6FB64" wp14:editId="35979773">
                  <wp:extent cx="3377821" cy="1595633"/>
                  <wp:effectExtent l="0" t="0" r="0" b="5080"/>
                  <wp:docPr id="15280799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079992" name=""/>
                          <pic:cNvPicPr/>
                        </pic:nvPicPr>
                        <pic:blipFill>
                          <a:blip r:embed="rId8"/>
                          <a:stretch>
                            <a:fillRect/>
                          </a:stretch>
                        </pic:blipFill>
                        <pic:spPr>
                          <a:xfrm>
                            <a:off x="0" y="0"/>
                            <a:ext cx="3400265" cy="1606235"/>
                          </a:xfrm>
                          <a:prstGeom prst="rect">
                            <a:avLst/>
                          </a:prstGeom>
                        </pic:spPr>
                      </pic:pic>
                    </a:graphicData>
                  </a:graphic>
                </wp:inline>
              </w:drawing>
            </w:r>
          </w:p>
        </w:tc>
      </w:tr>
      <w:tr w:rsidR="000A1365" w14:paraId="083F2F48" w14:textId="77777777" w:rsidTr="00422E71">
        <w:tc>
          <w:tcPr>
            <w:tcW w:w="10528" w:type="dxa"/>
            <w:vAlign w:val="center"/>
          </w:tcPr>
          <w:p w14:paraId="34ADBD2D" w14:textId="64F2CECF" w:rsidR="000A1365" w:rsidRPr="00422E71" w:rsidRDefault="005473A3" w:rsidP="00422E71">
            <w:pPr>
              <w:jc w:val="center"/>
              <w:rPr>
                <w:rFonts w:ascii="Arial" w:hAnsi="Arial" w:cs="Arial"/>
              </w:rPr>
            </w:pPr>
            <w:r w:rsidRPr="005473A3">
              <w:t xml:space="preserve">Image tirée de </w:t>
            </w:r>
            <w:hyperlink r:id="rId9" w:history="1">
              <w:r w:rsidRPr="00422E71">
                <w:rPr>
                  <w:rStyle w:val="Hyperlien"/>
                </w:rPr>
                <w:t>Santé Canada</w:t>
              </w:r>
            </w:hyperlink>
          </w:p>
        </w:tc>
      </w:tr>
    </w:tbl>
    <w:p w14:paraId="5644362A" w14:textId="77777777" w:rsidR="00730E69" w:rsidRDefault="00730E69" w:rsidP="00B439DF">
      <w:pPr>
        <w:jc w:val="both"/>
      </w:pPr>
    </w:p>
    <w:p w14:paraId="47B9A274" w14:textId="77777777" w:rsidR="00FB1505" w:rsidRDefault="00FB1505" w:rsidP="00FB1505">
      <w:pPr>
        <w:jc w:val="both"/>
      </w:pPr>
    </w:p>
    <w:p w14:paraId="482E4481" w14:textId="77777777" w:rsidR="00896B9F" w:rsidRDefault="00896B9F" w:rsidP="00FB1505">
      <w:pPr>
        <w:jc w:val="both"/>
      </w:pPr>
    </w:p>
    <w:p w14:paraId="0AB05AC5" w14:textId="77777777" w:rsidR="00896B9F" w:rsidRPr="00896B9F" w:rsidRDefault="00896B9F" w:rsidP="00896B9F">
      <w:pPr>
        <w:jc w:val="both"/>
        <w:rPr>
          <w:b/>
          <w:bCs/>
          <w:sz w:val="32"/>
          <w:szCs w:val="32"/>
        </w:rPr>
      </w:pPr>
      <w:r w:rsidRPr="00896B9F">
        <w:rPr>
          <w:b/>
          <w:bCs/>
          <w:sz w:val="32"/>
          <w:szCs w:val="32"/>
        </w:rPr>
        <w:t>Données générales et méthodologie</w:t>
      </w:r>
    </w:p>
    <w:p w14:paraId="5323C333" w14:textId="77777777" w:rsidR="00F77045" w:rsidRDefault="00F77045" w:rsidP="00896B9F">
      <w:pPr>
        <w:jc w:val="both"/>
      </w:pPr>
    </w:p>
    <w:p w14:paraId="7DDA531A" w14:textId="00CCFD73" w:rsidR="00896B9F" w:rsidRPr="00EC5748" w:rsidRDefault="00896B9F" w:rsidP="00896B9F">
      <w:pPr>
        <w:jc w:val="both"/>
      </w:pPr>
      <w:r w:rsidRPr="00EC5748">
        <w:t>La période d’étude couvre trois années complètes (2023 à 2025) et concerne dix régions, bien que la couverture ne soit pas uniforme sur l’ensemble du territoire de chacune des régions.</w:t>
      </w:r>
    </w:p>
    <w:p w14:paraId="3BB2F772" w14:textId="77777777" w:rsidR="00896B9F" w:rsidRPr="00EC5748" w:rsidRDefault="00896B9F" w:rsidP="00896B9F">
      <w:pPr>
        <w:jc w:val="both"/>
      </w:pPr>
    </w:p>
    <w:p w14:paraId="3556FE12" w14:textId="13A3986E" w:rsidR="004E0327" w:rsidRDefault="004E0327" w:rsidP="00896B9F">
      <w:pPr>
        <w:jc w:val="both"/>
      </w:pPr>
      <w:r w:rsidRPr="00422E71">
        <w:rPr>
          <w:b/>
          <w:bCs/>
        </w:rPr>
        <w:t>Moisissure grise</w:t>
      </w:r>
    </w:p>
    <w:p w14:paraId="5BCB9293" w14:textId="66B888C6" w:rsidR="00896B9F" w:rsidRPr="00EC5748" w:rsidRDefault="004E0327" w:rsidP="00896B9F">
      <w:pPr>
        <w:jc w:val="both"/>
      </w:pPr>
      <w:r>
        <w:t>L</w:t>
      </w:r>
      <w:r w:rsidR="00896B9F" w:rsidRPr="00EC5748">
        <w:t>es observations portent sur quatre cultures</w:t>
      </w:r>
      <w:r>
        <w:t xml:space="preserve"> : </w:t>
      </w:r>
      <w:r w:rsidR="00896B9F" w:rsidRPr="00EC5748">
        <w:t>bleuetier en corymbe, fraisier, framboisier et vigne</w:t>
      </w:r>
      <w:r w:rsidR="009E4A31">
        <w:t>,</w:t>
      </w:r>
      <w:r w:rsidR="00896B9F" w:rsidRPr="00EC5748">
        <w:t xml:space="preserve"> et quatre groupes de fongicides selon la classification FRAC : les inhibiteurs de la transduction du signal osmotique (groupe 2); les inhibiteurs de la succinate-déshydrogénase (groupe 7); les inhibiteurs du complexe III de la chaîne respiratoire (groupe 11); et les inhibiteurs de l’enzyme ERG27 de la </w:t>
      </w:r>
      <w:proofErr w:type="spellStart"/>
      <w:r w:rsidR="00896B9F" w:rsidRPr="00EC5748">
        <w:t>biosythèse</w:t>
      </w:r>
      <w:proofErr w:type="spellEnd"/>
      <w:r w:rsidR="00896B9F" w:rsidRPr="00EC5748">
        <w:t xml:space="preserve"> des stérols (groupe 17).</w:t>
      </w:r>
    </w:p>
    <w:p w14:paraId="2BC2FA27" w14:textId="77777777" w:rsidR="00896B9F" w:rsidRPr="00EC5748" w:rsidRDefault="00896B9F" w:rsidP="00896B9F">
      <w:pPr>
        <w:jc w:val="both"/>
      </w:pPr>
      <w:r w:rsidRPr="00EC5748">
        <w:t xml:space="preserve"> </w:t>
      </w:r>
    </w:p>
    <w:p w14:paraId="530AE860" w14:textId="645F0F2C" w:rsidR="00C449FB" w:rsidRDefault="00C56193" w:rsidP="00896B9F">
      <w:pPr>
        <w:jc w:val="both"/>
      </w:pPr>
      <w:r w:rsidRPr="00422E71">
        <w:rPr>
          <w:b/>
          <w:bCs/>
        </w:rPr>
        <w:t>Anthracnose ou pourriture de maturité des baies</w:t>
      </w:r>
      <w:r w:rsidR="00422E71">
        <w:rPr>
          <w:b/>
          <w:bCs/>
        </w:rPr>
        <w:t xml:space="preserve"> (vigne)</w:t>
      </w:r>
    </w:p>
    <w:p w14:paraId="72038175" w14:textId="5D424982" w:rsidR="00896B9F" w:rsidRPr="00EC5748" w:rsidRDefault="008A0316" w:rsidP="00896B9F">
      <w:pPr>
        <w:jc w:val="both"/>
      </w:pPr>
      <w:r>
        <w:t>L</w:t>
      </w:r>
      <w:r w:rsidR="00896B9F" w:rsidRPr="00EC5748">
        <w:t>es données couvrent trois cultures (bleuetier en corymbe, fraisier et vigne) et les groupes de fongicides 7 et 11.</w:t>
      </w:r>
    </w:p>
    <w:p w14:paraId="0B8A56CD" w14:textId="77777777" w:rsidR="00896B9F" w:rsidRPr="00EC5748" w:rsidRDefault="00896B9F" w:rsidP="00896B9F">
      <w:pPr>
        <w:jc w:val="both"/>
      </w:pPr>
    </w:p>
    <w:p w14:paraId="55309C29" w14:textId="77777777" w:rsidR="00896B9F" w:rsidRPr="00EC5748" w:rsidRDefault="00896B9F" w:rsidP="00896B9F">
      <w:pPr>
        <w:jc w:val="both"/>
      </w:pPr>
      <w:r w:rsidRPr="00EC5748">
        <w:t>La collecte des échantillons repose sur la collaboration des producteurs et de leurs conseillers, en collaboration avec les sous-réseaux petits fruits et vignes du Réseau d’Avertissements Phytosanitaires (RAP).</w:t>
      </w:r>
    </w:p>
    <w:p w14:paraId="44E3B8BF" w14:textId="77777777" w:rsidR="00896B9F" w:rsidRPr="00EC5748" w:rsidRDefault="00896B9F" w:rsidP="00896B9F">
      <w:pPr>
        <w:jc w:val="both"/>
      </w:pPr>
    </w:p>
    <w:p w14:paraId="6F3347C8" w14:textId="4255D84B" w:rsidR="00896B9F" w:rsidRPr="00EC5748" w:rsidRDefault="00896B9F" w:rsidP="00896B9F">
      <w:pPr>
        <w:jc w:val="both"/>
      </w:pPr>
      <w:r w:rsidRPr="00EC5748">
        <w:t xml:space="preserve">Une dizaine de fruits symptomatiques, c’est-à-dire qui présentaient une manifestation de la maladie </w:t>
      </w:r>
      <w:r w:rsidR="00C449FB">
        <w:t xml:space="preserve">au champ </w:t>
      </w:r>
      <w:r w:rsidRPr="00EC5748">
        <w:t>ont été envoyés</w:t>
      </w:r>
      <w:r w:rsidR="001B4A8F">
        <w:t xml:space="preserve"> au LEDP. L’analyse </w:t>
      </w:r>
      <w:r w:rsidR="00E013F1">
        <w:t xml:space="preserve">a été réalisée </w:t>
      </w:r>
      <w:r w:rsidRPr="00EC5748">
        <w:t>par des tests moléculaires de détection afin de confirmer la présence ou l’absence de mutations génétiques sur des gènes responsables de la résistance aux fongicides.</w:t>
      </w:r>
    </w:p>
    <w:p w14:paraId="1D55C00A" w14:textId="77777777" w:rsidR="00896B9F" w:rsidRPr="00EC5748" w:rsidRDefault="00896B9F" w:rsidP="00896B9F">
      <w:pPr>
        <w:jc w:val="both"/>
      </w:pPr>
      <w:r w:rsidRPr="00EC5748">
        <w:t xml:space="preserve"> </w:t>
      </w:r>
    </w:p>
    <w:p w14:paraId="7DB50730" w14:textId="16D7998A" w:rsidR="00896B9F" w:rsidRPr="00EC5748" w:rsidRDefault="00896B9F" w:rsidP="00896B9F">
      <w:pPr>
        <w:jc w:val="both"/>
      </w:pPr>
      <w:r w:rsidRPr="00EC5748">
        <w:t>Cette méthodologie permet d’obtenir une image représentative, bien que probablement encore sous-estimée, de la situation réelle sur le terrain dépend en effet de la vigilance et de la participation active, soit un échantillonnage suffisant des cas soupçonnés de résistance, par l’ensemble des acteurs de la filière.</w:t>
      </w:r>
    </w:p>
    <w:p w14:paraId="24E1A830" w14:textId="77777777" w:rsidR="00896B9F" w:rsidRPr="00EC5748" w:rsidRDefault="00896B9F" w:rsidP="00896B9F">
      <w:pPr>
        <w:jc w:val="both"/>
      </w:pPr>
    </w:p>
    <w:p w14:paraId="4015F77B" w14:textId="682A13E7" w:rsidR="00FB1505" w:rsidRDefault="00896B9F" w:rsidP="00896B9F">
      <w:pPr>
        <w:jc w:val="both"/>
      </w:pPr>
      <w:r w:rsidRPr="00EC5748">
        <w:t>Depuis 2023, le LEDP a réalisé 1312 tests moléculaires à partir de 438 échantillons soumis pour analyse. Parmi ces échantillons, 379 présentaient une résistance confirmée à au moins un groupe de fongicides, ce qui représente 86 % des échantillons analysés. Parmi les souches résistantes détectées, 51 % présentaient une multirésistance, définie comme une résistance à deux groupes de fongicides ou plus, toutes espèces confondues</w:t>
      </w:r>
      <w:r>
        <w:t>.</w:t>
      </w:r>
    </w:p>
    <w:p w14:paraId="6BA05390" w14:textId="77777777" w:rsidR="00E8344B" w:rsidRDefault="00E8344B" w:rsidP="00896B9F">
      <w:pPr>
        <w:jc w:val="both"/>
      </w:pPr>
    </w:p>
    <w:p w14:paraId="5ED4421E" w14:textId="77777777" w:rsidR="00E8344B" w:rsidRDefault="00E8344B" w:rsidP="00896B9F">
      <w:pPr>
        <w:jc w:val="both"/>
      </w:pPr>
    </w:p>
    <w:p w14:paraId="6FE16081" w14:textId="6AF482D9" w:rsidR="00E8344B" w:rsidRPr="00DF0930" w:rsidRDefault="00DF0930" w:rsidP="00896B9F">
      <w:pPr>
        <w:jc w:val="both"/>
        <w:rPr>
          <w:b/>
          <w:bCs/>
          <w:sz w:val="32"/>
          <w:szCs w:val="32"/>
        </w:rPr>
      </w:pPr>
      <w:r w:rsidRPr="00DF0930">
        <w:rPr>
          <w:b/>
          <w:bCs/>
          <w:sz w:val="32"/>
          <w:szCs w:val="32"/>
        </w:rPr>
        <w:t>Résultats de la résistance aux fongicides par espèce de champignon phytopathogènes dans les petits fruits et la vigne</w:t>
      </w:r>
    </w:p>
    <w:p w14:paraId="25D62519" w14:textId="77777777" w:rsidR="00F77045" w:rsidRDefault="00F77045" w:rsidP="00803258">
      <w:pPr>
        <w:jc w:val="both"/>
        <w:rPr>
          <w:b/>
          <w:bCs/>
        </w:rPr>
      </w:pPr>
    </w:p>
    <w:p w14:paraId="5A7AD0F6" w14:textId="1E044BA1" w:rsidR="00803258" w:rsidRPr="00EC5748" w:rsidRDefault="00803258" w:rsidP="00803258">
      <w:pPr>
        <w:jc w:val="both"/>
      </w:pPr>
      <w:r w:rsidRPr="00EC5748">
        <w:rPr>
          <w:b/>
          <w:bCs/>
        </w:rPr>
        <w:t>Les tableaux de l’Annexe1</w:t>
      </w:r>
      <w:r w:rsidRPr="00EC5748">
        <w:t xml:space="preserve"> présentent, pour la période 2023 à 2025, les champignons phytopathogènes </w:t>
      </w:r>
      <w:r w:rsidRPr="00EC5748">
        <w:rPr>
          <w:i/>
          <w:iCs/>
        </w:rPr>
        <w:t>(Botrytis cinerea</w:t>
      </w:r>
      <w:r w:rsidRPr="00EC5748">
        <w:t xml:space="preserve"> et </w:t>
      </w:r>
      <w:proofErr w:type="spellStart"/>
      <w:r w:rsidRPr="00EC5748">
        <w:rPr>
          <w:i/>
          <w:iCs/>
        </w:rPr>
        <w:t>Colletotrichum</w:t>
      </w:r>
      <w:proofErr w:type="spellEnd"/>
      <w:r w:rsidRPr="00EC5748">
        <w:rPr>
          <w:i/>
          <w:iCs/>
        </w:rPr>
        <w:t xml:space="preserve"> </w:t>
      </w:r>
      <w:proofErr w:type="spellStart"/>
      <w:r w:rsidRPr="00EC5748">
        <w:t>spp</w:t>
      </w:r>
      <w:proofErr w:type="spellEnd"/>
      <w:r w:rsidRPr="00EC5748">
        <w:t xml:space="preserve">.) dont la résistance aux fongicides a été confirmée au Québec. </w:t>
      </w:r>
    </w:p>
    <w:p w14:paraId="34AF4C01" w14:textId="77777777" w:rsidR="00803258" w:rsidRPr="00EC5748" w:rsidRDefault="00803258" w:rsidP="00803258">
      <w:pPr>
        <w:jc w:val="both"/>
      </w:pPr>
      <w:r w:rsidRPr="00EC5748">
        <w:t xml:space="preserve">Pour chaque culture, les données sont regroupées par groupe de fongicide testé et indiquent, pour chacun, le pourcentage du nombre total de souches résistantes confirmées. </w:t>
      </w:r>
    </w:p>
    <w:p w14:paraId="440385A6" w14:textId="081451FB" w:rsidR="00592138" w:rsidRDefault="00592138">
      <w:r>
        <w:br w:type="page"/>
      </w:r>
    </w:p>
    <w:p w14:paraId="562B0F7D" w14:textId="1FE7D80E" w:rsidR="00803258" w:rsidRPr="006B3D42" w:rsidRDefault="00803258" w:rsidP="00803258">
      <w:pPr>
        <w:jc w:val="both"/>
        <w:rPr>
          <w:b/>
          <w:bCs/>
          <w:sz w:val="28"/>
          <w:szCs w:val="28"/>
        </w:rPr>
      </w:pPr>
      <w:r w:rsidRPr="006B3D42">
        <w:rPr>
          <w:b/>
          <w:bCs/>
          <w:sz w:val="28"/>
          <w:szCs w:val="28"/>
        </w:rPr>
        <w:lastRenderedPageBreak/>
        <w:t>Résistance aux fongicides des champignon</w:t>
      </w:r>
      <w:r w:rsidR="00EA19CA">
        <w:rPr>
          <w:b/>
          <w:bCs/>
          <w:sz w:val="28"/>
          <w:szCs w:val="28"/>
        </w:rPr>
        <w:t>s</w:t>
      </w:r>
      <w:r w:rsidRPr="006B3D42">
        <w:rPr>
          <w:b/>
          <w:bCs/>
          <w:sz w:val="28"/>
          <w:szCs w:val="28"/>
        </w:rPr>
        <w:t xml:space="preserve"> phytopathogène</w:t>
      </w:r>
      <w:r w:rsidR="00EA19CA">
        <w:rPr>
          <w:b/>
          <w:bCs/>
          <w:sz w:val="28"/>
          <w:szCs w:val="28"/>
        </w:rPr>
        <w:t>s</w:t>
      </w:r>
      <w:r w:rsidRPr="006B3D42">
        <w:rPr>
          <w:b/>
          <w:bCs/>
          <w:sz w:val="28"/>
          <w:szCs w:val="28"/>
        </w:rPr>
        <w:t xml:space="preserve"> par culture</w:t>
      </w:r>
    </w:p>
    <w:p w14:paraId="4CFE149D" w14:textId="68DD5767" w:rsidR="00A97290" w:rsidRDefault="00803258" w:rsidP="00803258">
      <w:pPr>
        <w:jc w:val="both"/>
      </w:pPr>
      <w:r w:rsidRPr="00EC5748">
        <w:t>L’analyse des données révèle que la résistance aux fongicides varie sensiblement selon la culture et le champignon ciblé.</w:t>
      </w:r>
    </w:p>
    <w:p w14:paraId="0E6EFA4A" w14:textId="33A1A9CA" w:rsidR="00A97290" w:rsidRDefault="00A97290"/>
    <w:p w14:paraId="20D4EBF2" w14:textId="314A7DC7" w:rsidR="00D77CA7" w:rsidRDefault="00D8675D" w:rsidP="00D8675D">
      <w:pPr>
        <w:jc w:val="both"/>
        <w:rPr>
          <w:u w:val="single"/>
        </w:rPr>
      </w:pPr>
      <w:r w:rsidRPr="00422E71">
        <w:rPr>
          <w:b/>
          <w:bCs/>
          <w:i/>
          <w:iCs/>
          <w:sz w:val="24"/>
          <w:szCs w:val="24"/>
        </w:rPr>
        <w:t>Botrytis cinerea</w:t>
      </w:r>
    </w:p>
    <w:p w14:paraId="70D20C88" w14:textId="43CB6BEE" w:rsidR="00D8675D" w:rsidRDefault="00D77CA7" w:rsidP="00D8675D">
      <w:pPr>
        <w:jc w:val="both"/>
      </w:pPr>
      <w:r>
        <w:t>L</w:t>
      </w:r>
      <w:r w:rsidR="00D8675D" w:rsidRPr="00EC5748">
        <w:t>es pourcentages de souches résistantes (à au moins un groupe de fongicide) sont élevés dans l’ensemble des cultures analysées. Ils atteignent : 88 % dans le bleuetier en corymbe; 79,1 % dans le fraisier; 70,3 % dans le framboisier; et 67,3 % dans la vigne.</w:t>
      </w:r>
    </w:p>
    <w:p w14:paraId="1C1DDA0D" w14:textId="77777777" w:rsidR="00484E4E" w:rsidRPr="00EC5748" w:rsidRDefault="00484E4E" w:rsidP="00D8675D">
      <w:pPr>
        <w:jc w:val="both"/>
      </w:pPr>
    </w:p>
    <w:p w14:paraId="4537B73D" w14:textId="476F8915" w:rsidR="00D8675D" w:rsidRPr="00EC5748" w:rsidRDefault="00484E4E" w:rsidP="00D8675D">
      <w:pPr>
        <w:pStyle w:val="Paragraphedeliste"/>
        <w:numPr>
          <w:ilvl w:val="0"/>
          <w:numId w:val="5"/>
        </w:numPr>
        <w:spacing w:line="278" w:lineRule="auto"/>
        <w:ind w:left="426"/>
        <w:jc w:val="both"/>
      </w:pPr>
      <w:r>
        <w:rPr>
          <w:b/>
          <w:bCs/>
        </w:rPr>
        <w:t>B</w:t>
      </w:r>
      <w:r w:rsidR="00D8675D" w:rsidRPr="00EC5748">
        <w:rPr>
          <w:b/>
          <w:bCs/>
        </w:rPr>
        <w:t>leuet en corymbe</w:t>
      </w:r>
      <w:r>
        <w:rPr>
          <w:b/>
          <w:bCs/>
        </w:rPr>
        <w:t> :</w:t>
      </w:r>
      <w:r w:rsidR="00D8675D" w:rsidRPr="00EC5748">
        <w:t xml:space="preserve"> les résistances les plus élevées concernent les groupes 11 (83,3 %) et 7 (79,2 %), suivies du groupe 2 (72 %). Le groupe 17 présente un niveau de résistance plus modéré (48 %), tandis que la multirésistance aux groupes 7 et 11 atteint 50 % des souches analysées.</w:t>
      </w:r>
    </w:p>
    <w:p w14:paraId="057D867D" w14:textId="51575960" w:rsidR="00D8675D" w:rsidRPr="00EC5748" w:rsidRDefault="00484E4E" w:rsidP="00D8675D">
      <w:pPr>
        <w:pStyle w:val="Paragraphedeliste"/>
        <w:numPr>
          <w:ilvl w:val="0"/>
          <w:numId w:val="5"/>
        </w:numPr>
        <w:spacing w:line="278" w:lineRule="auto"/>
        <w:ind w:left="426"/>
        <w:jc w:val="both"/>
      </w:pPr>
      <w:r>
        <w:rPr>
          <w:b/>
          <w:bCs/>
        </w:rPr>
        <w:t>F</w:t>
      </w:r>
      <w:r w:rsidR="00D8675D" w:rsidRPr="00EC5748">
        <w:rPr>
          <w:b/>
          <w:bCs/>
        </w:rPr>
        <w:t>rais</w:t>
      </w:r>
      <w:r>
        <w:rPr>
          <w:b/>
          <w:bCs/>
        </w:rPr>
        <w:t>e :</w:t>
      </w:r>
      <w:r w:rsidR="00D8675D" w:rsidRPr="00EC5748">
        <w:t xml:space="preserve"> la résistance la plus importante est observée pour le groupe 11 (76,9 %), suivie du groupe 2 (57,6 %), du groupe 17 (46 %) et du groupe 7 (44,8 %). La multirésistance aux groupes 7 et 11 est également notable, atteignant 46,8 % des souches.</w:t>
      </w:r>
    </w:p>
    <w:p w14:paraId="3B9D2F65" w14:textId="025F8067" w:rsidR="00D8675D" w:rsidRPr="00EC5748" w:rsidRDefault="00484E4E" w:rsidP="00D8675D">
      <w:pPr>
        <w:pStyle w:val="Paragraphedeliste"/>
        <w:numPr>
          <w:ilvl w:val="0"/>
          <w:numId w:val="5"/>
        </w:numPr>
        <w:spacing w:line="278" w:lineRule="auto"/>
        <w:ind w:left="426"/>
        <w:jc w:val="both"/>
      </w:pPr>
      <w:r>
        <w:rPr>
          <w:b/>
          <w:bCs/>
        </w:rPr>
        <w:t>F</w:t>
      </w:r>
      <w:r w:rsidR="00D8675D" w:rsidRPr="00EC5748">
        <w:rPr>
          <w:b/>
          <w:bCs/>
        </w:rPr>
        <w:t>rambois</w:t>
      </w:r>
      <w:r>
        <w:rPr>
          <w:b/>
          <w:bCs/>
        </w:rPr>
        <w:t>e</w:t>
      </w:r>
      <w:r>
        <w:t> :</w:t>
      </w:r>
      <w:r w:rsidR="00D8675D" w:rsidRPr="00EC5748">
        <w:t xml:space="preserve"> les pourcentages de souches résistantes sont relativement comparables entre plusieurs groupes : 56,2 % pour le groupe 11; 54,1 % pour le groupe 2; 47,3 % pour le groupe 7; et 34,7 % pour le groupe 17. La multirésistance aux groupes 7 et 11 atteint 33,3 %.</w:t>
      </w:r>
    </w:p>
    <w:p w14:paraId="18300232" w14:textId="70A91AA6" w:rsidR="00D8675D" w:rsidRPr="00EC5748" w:rsidRDefault="00484E4E" w:rsidP="00D8675D">
      <w:pPr>
        <w:pStyle w:val="Paragraphedeliste"/>
        <w:numPr>
          <w:ilvl w:val="0"/>
          <w:numId w:val="5"/>
        </w:numPr>
        <w:spacing w:line="278" w:lineRule="auto"/>
        <w:ind w:left="426"/>
        <w:jc w:val="both"/>
      </w:pPr>
      <w:r>
        <w:rPr>
          <w:b/>
          <w:bCs/>
        </w:rPr>
        <w:t>V</w:t>
      </w:r>
      <w:r w:rsidR="00D8675D" w:rsidRPr="00EC5748">
        <w:rPr>
          <w:b/>
          <w:bCs/>
        </w:rPr>
        <w:t>igne</w:t>
      </w:r>
      <w:r>
        <w:rPr>
          <w:b/>
          <w:bCs/>
        </w:rPr>
        <w:t> :</w:t>
      </w:r>
      <w:r w:rsidR="00D8675D" w:rsidRPr="00EC5748">
        <w:t xml:space="preserve"> la résistance est dominée par les groupes 11 (65,4 %) et 7 (58,8 %), alors que les pourcentages observés pour le groupe 2 (30,8 %) demeurent plus modérées. La résistance au groupe 17 est très faible (1,9 %) et aucune souche présentant une multirésistance aux groupes 7 et 11 n’a été détectée.</w:t>
      </w:r>
    </w:p>
    <w:p w14:paraId="04D0FD1A" w14:textId="77777777" w:rsidR="00D8675D" w:rsidRPr="00F77045" w:rsidRDefault="00D8675D" w:rsidP="00D8675D">
      <w:pPr>
        <w:jc w:val="both"/>
      </w:pPr>
    </w:p>
    <w:p w14:paraId="2DAE5180" w14:textId="623468EB" w:rsidR="00E92A45" w:rsidRPr="00F77045" w:rsidRDefault="00D8675D" w:rsidP="00D8675D">
      <w:pPr>
        <w:jc w:val="both"/>
      </w:pPr>
      <w:proofErr w:type="spellStart"/>
      <w:r w:rsidRPr="00F77045">
        <w:rPr>
          <w:b/>
          <w:bCs/>
          <w:i/>
          <w:iCs/>
        </w:rPr>
        <w:t>Colletotrichum</w:t>
      </w:r>
      <w:proofErr w:type="spellEnd"/>
      <w:r w:rsidRPr="00F77045">
        <w:rPr>
          <w:b/>
          <w:bCs/>
          <w:i/>
          <w:iCs/>
        </w:rPr>
        <w:t xml:space="preserve"> </w:t>
      </w:r>
      <w:proofErr w:type="spellStart"/>
      <w:r w:rsidRPr="00F77045">
        <w:rPr>
          <w:b/>
          <w:bCs/>
        </w:rPr>
        <w:t>spp</w:t>
      </w:r>
      <w:proofErr w:type="spellEnd"/>
      <w:r w:rsidRPr="00F77045">
        <w:rPr>
          <w:b/>
          <w:bCs/>
        </w:rPr>
        <w:t>.</w:t>
      </w:r>
    </w:p>
    <w:p w14:paraId="608A861E" w14:textId="1653F36D" w:rsidR="00D8675D" w:rsidRPr="00EC5748" w:rsidRDefault="00E92A45" w:rsidP="00D8675D">
      <w:pPr>
        <w:jc w:val="both"/>
      </w:pPr>
      <w:r>
        <w:t>L</w:t>
      </w:r>
      <w:r w:rsidR="00D8675D" w:rsidRPr="00EC5748">
        <w:t>es résultats montrent une situation bien distincte selon les groupes de fongicides.</w:t>
      </w:r>
    </w:p>
    <w:p w14:paraId="4F7AFE13" w14:textId="77777777" w:rsidR="00A97EA6" w:rsidRDefault="00A97EA6" w:rsidP="00D8675D">
      <w:pPr>
        <w:jc w:val="both"/>
      </w:pPr>
    </w:p>
    <w:p w14:paraId="3D48052A" w14:textId="0FA9F4F0" w:rsidR="00D8675D" w:rsidRDefault="00D8675D" w:rsidP="00D8675D">
      <w:pPr>
        <w:jc w:val="both"/>
      </w:pPr>
      <w:r w:rsidRPr="00EC5748">
        <w:t>Dans toutes les cultures analysées, le pourcentage de souches résistantes au groupe 7 (SDHI) atteint 100</w:t>
      </w:r>
      <w:r w:rsidR="00F61F39">
        <w:t> </w:t>
      </w:r>
      <w:r w:rsidRPr="00EC5748">
        <w:t>%, dans le bleuet, la fraise et la vigne, confirmant une perte de sensibilité généralisée des populations de cet organisme à ce groupe de fongicides.</w:t>
      </w:r>
    </w:p>
    <w:p w14:paraId="2452B986" w14:textId="77777777" w:rsidR="00D77CA7" w:rsidRPr="00EC5748" w:rsidRDefault="00D77CA7" w:rsidP="00D8675D">
      <w:pPr>
        <w:jc w:val="both"/>
      </w:pPr>
    </w:p>
    <w:p w14:paraId="138B938F" w14:textId="77777777" w:rsidR="007F575D" w:rsidRPr="00EC5748" w:rsidRDefault="007F575D" w:rsidP="007F575D">
      <w:pPr>
        <w:pStyle w:val="Paragraphedeliste"/>
        <w:numPr>
          <w:ilvl w:val="0"/>
          <w:numId w:val="6"/>
        </w:numPr>
        <w:spacing w:line="278" w:lineRule="auto"/>
        <w:ind w:left="426"/>
        <w:jc w:val="both"/>
      </w:pPr>
      <w:r w:rsidRPr="00EC5748">
        <w:t xml:space="preserve">Dans </w:t>
      </w:r>
      <w:r w:rsidRPr="00EC5748">
        <w:rPr>
          <w:b/>
          <w:bCs/>
        </w:rPr>
        <w:t>le fraisier</w:t>
      </w:r>
      <w:r w:rsidRPr="00EC5748">
        <w:t>, les pourcentages de souches résistantes atteignent 100 % pour le groupe 11, ainsi que pour la combinaison 7 et 11, indiquant une situation de multirésistance généralisée dans les populations analysées.</w:t>
      </w:r>
    </w:p>
    <w:p w14:paraId="6CA8A233" w14:textId="77777777" w:rsidR="007F575D" w:rsidRPr="00EC5748" w:rsidRDefault="007F575D" w:rsidP="007F575D">
      <w:pPr>
        <w:pStyle w:val="Paragraphedeliste"/>
        <w:numPr>
          <w:ilvl w:val="0"/>
          <w:numId w:val="6"/>
        </w:numPr>
        <w:spacing w:line="278" w:lineRule="auto"/>
        <w:ind w:left="426"/>
        <w:jc w:val="both"/>
      </w:pPr>
      <w:r w:rsidRPr="00EC5748">
        <w:t xml:space="preserve">Dans </w:t>
      </w:r>
      <w:r w:rsidRPr="00EC5748">
        <w:rPr>
          <w:b/>
          <w:bCs/>
        </w:rPr>
        <w:t>le bleuetier en corymbe</w:t>
      </w:r>
      <w:r w:rsidRPr="00EC5748">
        <w:t>, la résistance au groupe 11 demeure relativement faible (16,5 %), et la proportion de souches présentant une multirésistance aux groupes 7 et 11 est également de 16,5 %.</w:t>
      </w:r>
    </w:p>
    <w:p w14:paraId="5B83C304" w14:textId="1C6362C9" w:rsidR="00803258" w:rsidRDefault="007F575D" w:rsidP="007F575D">
      <w:pPr>
        <w:pStyle w:val="Paragraphedeliste"/>
        <w:numPr>
          <w:ilvl w:val="0"/>
          <w:numId w:val="7"/>
        </w:numPr>
        <w:jc w:val="both"/>
      </w:pPr>
      <w:r w:rsidRPr="00EC5748">
        <w:t xml:space="preserve">Dans </w:t>
      </w:r>
      <w:r w:rsidRPr="007F575D">
        <w:rPr>
          <w:b/>
          <w:bCs/>
        </w:rPr>
        <w:t>la vigne</w:t>
      </w:r>
      <w:r w:rsidRPr="00EC5748">
        <w:t xml:space="preserve">, la résistance au groupe 11 demeure très faible (1,4 %), et le pourcentage de souches présentant une multirésistance aux groupes 7 et 11 est également de </w:t>
      </w:r>
      <w:r w:rsidR="00D8675D" w:rsidRPr="00EC5748">
        <w:t>1,4 %.</w:t>
      </w:r>
    </w:p>
    <w:p w14:paraId="1A8C3998" w14:textId="77777777" w:rsidR="00A97290" w:rsidRDefault="00A97290" w:rsidP="00803258">
      <w:pPr>
        <w:jc w:val="both"/>
      </w:pPr>
    </w:p>
    <w:p w14:paraId="14C9B513" w14:textId="77777777" w:rsidR="00291ADB" w:rsidRPr="006B3D42" w:rsidRDefault="00291ADB" w:rsidP="00291ADB">
      <w:pPr>
        <w:jc w:val="both"/>
        <w:rPr>
          <w:b/>
          <w:bCs/>
          <w:sz w:val="28"/>
          <w:szCs w:val="28"/>
        </w:rPr>
      </w:pPr>
      <w:r w:rsidRPr="006B3D42">
        <w:rPr>
          <w:b/>
          <w:bCs/>
          <w:sz w:val="28"/>
          <w:szCs w:val="28"/>
        </w:rPr>
        <w:t>Résistance aux fongicides des champignons phytopathogènes par groupe de fongicides</w:t>
      </w:r>
    </w:p>
    <w:p w14:paraId="4EC2E559" w14:textId="77777777" w:rsidR="00F77045" w:rsidRDefault="00F77045" w:rsidP="008771FD">
      <w:pPr>
        <w:jc w:val="both"/>
      </w:pPr>
    </w:p>
    <w:p w14:paraId="781DF376" w14:textId="77777777" w:rsidR="0019506F" w:rsidRDefault="0019506F" w:rsidP="0019506F">
      <w:pPr>
        <w:jc w:val="both"/>
        <w:rPr>
          <w:u w:val="single"/>
        </w:rPr>
      </w:pPr>
      <w:r w:rsidRPr="00422E71">
        <w:rPr>
          <w:b/>
          <w:bCs/>
          <w:i/>
          <w:iCs/>
          <w:sz w:val="24"/>
          <w:szCs w:val="24"/>
        </w:rPr>
        <w:t>Botrytis cinerea</w:t>
      </w:r>
    </w:p>
    <w:p w14:paraId="5044F089" w14:textId="570779DB" w:rsidR="008771FD" w:rsidRPr="00EC5748" w:rsidRDefault="00471C3E" w:rsidP="008771FD">
      <w:pPr>
        <w:jc w:val="both"/>
      </w:pPr>
      <w:r>
        <w:t>L</w:t>
      </w:r>
      <w:r w:rsidR="008771FD" w:rsidRPr="00EC5748">
        <w:t>a résistance est observée dans tous les groupes de fongicides étudiés (2, 7, 11 et 17). Les niveaux de résistance les plus élevés concernent les groupes 11 et 7.</w:t>
      </w:r>
    </w:p>
    <w:p w14:paraId="7FCC9C65" w14:textId="77777777" w:rsidR="008771FD" w:rsidRPr="00EC5748" w:rsidRDefault="008771FD" w:rsidP="008771FD">
      <w:pPr>
        <w:pStyle w:val="Paragraphedeliste"/>
        <w:numPr>
          <w:ilvl w:val="0"/>
          <w:numId w:val="8"/>
        </w:numPr>
        <w:spacing w:line="278" w:lineRule="auto"/>
        <w:ind w:left="426"/>
        <w:jc w:val="both"/>
      </w:pPr>
      <w:r w:rsidRPr="00EC5748">
        <w:t xml:space="preserve">Pour le </w:t>
      </w:r>
      <w:r w:rsidRPr="00EC5748">
        <w:rPr>
          <w:b/>
          <w:bCs/>
        </w:rPr>
        <w:t>groupe 11</w:t>
      </w:r>
      <w:r w:rsidRPr="00EC5748">
        <w:t>, les pourcentages de souches résistantes sont particulièrement élevés dans le bleuetier en corymbe (83,3 %) et le fraisier (76,9 %), suivies de la vigne (65,4 %) et du framboisier (56,2 %).</w:t>
      </w:r>
    </w:p>
    <w:p w14:paraId="6798CCB8" w14:textId="77777777" w:rsidR="008771FD" w:rsidRPr="00EC5748" w:rsidRDefault="008771FD" w:rsidP="008771FD">
      <w:pPr>
        <w:pStyle w:val="Paragraphedeliste"/>
        <w:numPr>
          <w:ilvl w:val="0"/>
          <w:numId w:val="8"/>
        </w:numPr>
        <w:spacing w:line="278" w:lineRule="auto"/>
        <w:ind w:left="426"/>
        <w:jc w:val="both"/>
      </w:pPr>
      <w:r w:rsidRPr="00EC5748">
        <w:t xml:space="preserve">Pour le </w:t>
      </w:r>
      <w:r w:rsidRPr="00EC5748">
        <w:rPr>
          <w:b/>
          <w:bCs/>
        </w:rPr>
        <w:t>groupe 7</w:t>
      </w:r>
      <w:r w:rsidRPr="00EC5748">
        <w:t>, les taux de résistance les plus importants sont observés dans le bleuetier en corymbe (79,2 %) et la vigne (58,8 %), puis dans le framboisier (47,3 %) et le fraisier (44,8 %).</w:t>
      </w:r>
    </w:p>
    <w:p w14:paraId="6BF29CC3" w14:textId="77777777" w:rsidR="008771FD" w:rsidRPr="00EC5748" w:rsidRDefault="008771FD" w:rsidP="008771FD">
      <w:pPr>
        <w:pStyle w:val="Paragraphedeliste"/>
        <w:numPr>
          <w:ilvl w:val="0"/>
          <w:numId w:val="8"/>
        </w:numPr>
        <w:spacing w:line="278" w:lineRule="auto"/>
        <w:ind w:left="426"/>
        <w:jc w:val="both"/>
      </w:pPr>
      <w:r w:rsidRPr="00EC5748">
        <w:t xml:space="preserve">Le </w:t>
      </w:r>
      <w:r w:rsidRPr="00EC5748">
        <w:rPr>
          <w:b/>
          <w:bCs/>
        </w:rPr>
        <w:t>groupe 2</w:t>
      </w:r>
      <w:r w:rsidRPr="00EC5748">
        <w:t xml:space="preserve"> présente également des pourcentages élevés de souches résistantes dans certaines cultures, notamment dans le bleuetier en corymbe (72 %), le fraisier (57,6 %) et le framboisier (54,1 %), alors que la vigne montre un niveau plus faible (30,8 %).</w:t>
      </w:r>
    </w:p>
    <w:p w14:paraId="5574D096" w14:textId="77777777" w:rsidR="008771FD" w:rsidRPr="00EC5748" w:rsidRDefault="008771FD" w:rsidP="008771FD">
      <w:pPr>
        <w:pStyle w:val="Paragraphedeliste"/>
        <w:numPr>
          <w:ilvl w:val="0"/>
          <w:numId w:val="8"/>
        </w:numPr>
        <w:spacing w:line="278" w:lineRule="auto"/>
        <w:ind w:left="426"/>
        <w:jc w:val="both"/>
      </w:pPr>
      <w:r w:rsidRPr="00EC5748">
        <w:lastRenderedPageBreak/>
        <w:t xml:space="preserve">Le </w:t>
      </w:r>
      <w:r w:rsidRPr="00EC5748">
        <w:rPr>
          <w:b/>
          <w:bCs/>
        </w:rPr>
        <w:t xml:space="preserve">groupe 17 </w:t>
      </w:r>
      <w:r w:rsidRPr="00EC5748">
        <w:t>est globalement moins touché par la résistance, avec des pourcentages variant de 48 % dans le bleuetier en corymbe, 46 % dans le fraisier et 34,7 % dans le framboisier, alors que la vigne présente un pourcentage très faible (1,9 %).</w:t>
      </w:r>
    </w:p>
    <w:p w14:paraId="7D72EC1F" w14:textId="77777777" w:rsidR="008771FD" w:rsidRPr="00EC5748" w:rsidRDefault="008771FD" w:rsidP="008771FD">
      <w:pPr>
        <w:jc w:val="both"/>
      </w:pPr>
    </w:p>
    <w:p w14:paraId="37F1E200" w14:textId="0554FB91" w:rsidR="00DF0930" w:rsidRDefault="008771FD" w:rsidP="008771FD">
      <w:pPr>
        <w:jc w:val="both"/>
      </w:pPr>
      <w:r w:rsidRPr="00EC5748">
        <w:t xml:space="preserve">La multirésistance aux groupes 7 et 11 est également observée chez certaines populations de </w:t>
      </w:r>
      <w:r w:rsidRPr="00EC5748">
        <w:rPr>
          <w:i/>
          <w:iCs/>
        </w:rPr>
        <w:t>B. cinerea</w:t>
      </w:r>
      <w:r w:rsidRPr="00EC5748">
        <w:t>. Elle atteint 50 % dans le bleuetier en corymbe, 46,8 % dans le fraisier et 33,3 % dans le framboisier, alors qu’aucune souche présentant cette combinaison de résistance n’a été détectée dans la vigne</w:t>
      </w:r>
      <w:r>
        <w:t>.</w:t>
      </w:r>
    </w:p>
    <w:p w14:paraId="456F2D26" w14:textId="77777777" w:rsidR="008771FD" w:rsidRDefault="008771FD" w:rsidP="008771FD">
      <w:pPr>
        <w:jc w:val="both"/>
      </w:pPr>
    </w:p>
    <w:p w14:paraId="655BD74A" w14:textId="77777777" w:rsidR="00471C3E" w:rsidRPr="00F77045" w:rsidRDefault="00471C3E" w:rsidP="00471C3E">
      <w:pPr>
        <w:jc w:val="both"/>
      </w:pPr>
      <w:proofErr w:type="spellStart"/>
      <w:r w:rsidRPr="00F77045">
        <w:rPr>
          <w:b/>
          <w:bCs/>
          <w:i/>
          <w:iCs/>
        </w:rPr>
        <w:t>Colletotrichum</w:t>
      </w:r>
      <w:proofErr w:type="spellEnd"/>
      <w:r w:rsidRPr="00F77045">
        <w:rPr>
          <w:b/>
          <w:bCs/>
          <w:i/>
          <w:iCs/>
        </w:rPr>
        <w:t xml:space="preserve"> </w:t>
      </w:r>
      <w:proofErr w:type="spellStart"/>
      <w:r w:rsidRPr="00F77045">
        <w:rPr>
          <w:b/>
          <w:bCs/>
        </w:rPr>
        <w:t>spp</w:t>
      </w:r>
      <w:proofErr w:type="spellEnd"/>
      <w:r w:rsidRPr="00F77045">
        <w:rPr>
          <w:b/>
          <w:bCs/>
        </w:rPr>
        <w:t>.</w:t>
      </w:r>
    </w:p>
    <w:p w14:paraId="6B249FDE" w14:textId="1590E46F" w:rsidR="005E081B" w:rsidRPr="00EC5748" w:rsidRDefault="00471C3E" w:rsidP="005E081B">
      <w:pPr>
        <w:jc w:val="both"/>
      </w:pPr>
      <w:r>
        <w:t>L</w:t>
      </w:r>
      <w:r w:rsidR="005E081B" w:rsidRPr="00EC5748">
        <w:t>a résistance est dominée par le groupe 7 (SDHI).</w:t>
      </w:r>
    </w:p>
    <w:p w14:paraId="7715EB60" w14:textId="77777777" w:rsidR="005E081B" w:rsidRPr="00EC5748" w:rsidRDefault="005E081B" w:rsidP="005E081B">
      <w:pPr>
        <w:pStyle w:val="Paragraphedeliste"/>
        <w:numPr>
          <w:ilvl w:val="0"/>
          <w:numId w:val="9"/>
        </w:numPr>
        <w:spacing w:line="278" w:lineRule="auto"/>
        <w:ind w:left="426"/>
        <w:jc w:val="both"/>
      </w:pPr>
      <w:r w:rsidRPr="00EC5748">
        <w:t xml:space="preserve">Dans toutes les cultures analysées, les pourcentages de souches résistantes au </w:t>
      </w:r>
      <w:r w:rsidRPr="00EC5748">
        <w:rPr>
          <w:b/>
          <w:bCs/>
        </w:rPr>
        <w:t>groupe 7</w:t>
      </w:r>
      <w:r w:rsidRPr="00EC5748">
        <w:t xml:space="preserve"> atteignent 100 %, soit dans le bleuetier en corymbe, le fraisier et la vigne. Ces résultats confirment une perte de sensibilité généralisée de ces populations aux matières actives de ce groupe de fongicides.</w:t>
      </w:r>
    </w:p>
    <w:p w14:paraId="1EF3B917" w14:textId="77777777" w:rsidR="005E081B" w:rsidRPr="00EC5748" w:rsidRDefault="005E081B" w:rsidP="005E081B">
      <w:pPr>
        <w:pStyle w:val="Paragraphedeliste"/>
        <w:numPr>
          <w:ilvl w:val="0"/>
          <w:numId w:val="9"/>
        </w:numPr>
        <w:spacing w:line="278" w:lineRule="auto"/>
        <w:ind w:left="426"/>
        <w:jc w:val="both"/>
      </w:pPr>
      <w:r w:rsidRPr="00EC5748">
        <w:t xml:space="preserve">La résistance au </w:t>
      </w:r>
      <w:r w:rsidRPr="00EC5748">
        <w:rPr>
          <w:b/>
          <w:bCs/>
        </w:rPr>
        <w:t>groupe 11</w:t>
      </w:r>
      <w:r w:rsidRPr="00EC5748">
        <w:t xml:space="preserve"> (</w:t>
      </w:r>
      <w:proofErr w:type="spellStart"/>
      <w:r w:rsidRPr="00EC5748">
        <w:t>QoI</w:t>
      </w:r>
      <w:proofErr w:type="spellEnd"/>
      <w:r w:rsidRPr="00EC5748">
        <w:t>) varie davantage selon les cultures. Elle demeure relativement faible dans le bleuetier en corymbe (16,5 %) et la vigne (1,4 %), mais atteint 100 % dans le fraisier.</w:t>
      </w:r>
    </w:p>
    <w:p w14:paraId="07105A89" w14:textId="77777777" w:rsidR="005E081B" w:rsidRPr="00EC5748" w:rsidRDefault="005E081B" w:rsidP="005E081B">
      <w:pPr>
        <w:jc w:val="both"/>
      </w:pPr>
      <w:r w:rsidRPr="00EC5748">
        <w:t>Les cas de multirésistance aux groupes 7 et 11 suivent la même tendance : 16,5 % dans le bleuetier en corymbe; 1,4 % dans la vigne; et 100 % dans le fraisier.</w:t>
      </w:r>
    </w:p>
    <w:p w14:paraId="196DEF92" w14:textId="77777777" w:rsidR="005E081B" w:rsidRPr="00EC5748" w:rsidRDefault="005E081B" w:rsidP="005E081B">
      <w:pPr>
        <w:jc w:val="both"/>
      </w:pPr>
    </w:p>
    <w:p w14:paraId="298C778D" w14:textId="493C903B" w:rsidR="005E081B" w:rsidRPr="00EC5748" w:rsidRDefault="005E081B" w:rsidP="005E081B">
      <w:pPr>
        <w:jc w:val="both"/>
      </w:pPr>
      <w:r w:rsidRPr="00EC5748">
        <w:t>Dans l’ensemble, ces résultats indiquent que les groupes 7 et</w:t>
      </w:r>
      <w:r w:rsidR="00B7791E">
        <w:t xml:space="preserve"> </w:t>
      </w:r>
      <w:r w:rsidRPr="00EC5748">
        <w:t>11 et leurs mélanges 7 avec 11 sont les familles de fongicides les plus vulnérables à l’apparition de résistances chez les deux champignons étudiés, ce qui souligne l’importance d’une gestion stratégique des modes d’action, particulièrement dans les cultures où la pression fongicide est forte.</w:t>
      </w:r>
    </w:p>
    <w:p w14:paraId="5E888E48" w14:textId="77777777" w:rsidR="008771FD" w:rsidRDefault="008771FD" w:rsidP="008771FD">
      <w:pPr>
        <w:jc w:val="both"/>
      </w:pPr>
    </w:p>
    <w:p w14:paraId="68D738FB" w14:textId="44EBD640" w:rsidR="005E081B" w:rsidRDefault="00F55EC8" w:rsidP="008771FD">
      <w:pPr>
        <w:jc w:val="both"/>
        <w:rPr>
          <w:b/>
          <w:bCs/>
          <w:sz w:val="28"/>
          <w:szCs w:val="28"/>
        </w:rPr>
      </w:pPr>
      <w:r w:rsidRPr="00F55EC8">
        <w:rPr>
          <w:b/>
          <w:bCs/>
          <w:sz w:val="28"/>
          <w:szCs w:val="28"/>
        </w:rPr>
        <w:t>Champignons phytopathogènes résistants par région administrative</w:t>
      </w:r>
    </w:p>
    <w:p w14:paraId="5396A2FD" w14:textId="77777777" w:rsidR="00471C3E" w:rsidRDefault="00471C3E" w:rsidP="00222155">
      <w:pPr>
        <w:jc w:val="both"/>
        <w:rPr>
          <w:b/>
          <w:bCs/>
        </w:rPr>
      </w:pPr>
    </w:p>
    <w:p w14:paraId="6B51DC38" w14:textId="729830D7" w:rsidR="00222155" w:rsidRPr="00EC5748" w:rsidRDefault="00222155" w:rsidP="00222155">
      <w:pPr>
        <w:jc w:val="both"/>
      </w:pPr>
      <w:r w:rsidRPr="00EC5748">
        <w:rPr>
          <w:b/>
          <w:bCs/>
        </w:rPr>
        <w:t>Les tableaux de l’Annexe 2</w:t>
      </w:r>
      <w:r w:rsidRPr="00EC5748">
        <w:t xml:space="preserve"> illustrent, pour la période 2023 à 2025, le nombre et le % de souches de champignons phytopathogènes confirmées résistantes au Québec, réparties selon le groupe de fongicides concerné et la région administrative d’où provenait l’échantillon. </w:t>
      </w:r>
    </w:p>
    <w:p w14:paraId="3E7A52F2" w14:textId="77777777" w:rsidR="00222155" w:rsidRPr="00EC5748" w:rsidRDefault="00222155" w:rsidP="00222155">
      <w:pPr>
        <w:jc w:val="both"/>
        <w:rPr>
          <w:b/>
          <w:bCs/>
        </w:rPr>
      </w:pPr>
    </w:p>
    <w:p w14:paraId="75CCD877" w14:textId="77777777" w:rsidR="00222155" w:rsidRPr="00222155" w:rsidRDefault="00222155" w:rsidP="00222155">
      <w:pPr>
        <w:jc w:val="both"/>
        <w:rPr>
          <w:b/>
          <w:bCs/>
          <w:sz w:val="24"/>
          <w:szCs w:val="24"/>
        </w:rPr>
      </w:pPr>
      <w:r w:rsidRPr="00222155">
        <w:rPr>
          <w:b/>
          <w:bCs/>
          <w:sz w:val="24"/>
          <w:szCs w:val="24"/>
        </w:rPr>
        <w:t>Répartition géographique et points chauds</w:t>
      </w:r>
    </w:p>
    <w:p w14:paraId="6EFF1A58" w14:textId="77777777" w:rsidR="00324182" w:rsidRDefault="00324182" w:rsidP="00222155">
      <w:pPr>
        <w:jc w:val="both"/>
      </w:pPr>
    </w:p>
    <w:p w14:paraId="4E99432B" w14:textId="748009A6" w:rsidR="00222155" w:rsidRPr="00EC5748" w:rsidRDefault="00222155" w:rsidP="00222155">
      <w:pPr>
        <w:jc w:val="both"/>
      </w:pPr>
      <w:r w:rsidRPr="00EC5748">
        <w:t>L’analyse géographique des résistances à la moisissure grise (</w:t>
      </w:r>
      <w:r w:rsidRPr="00EC5748">
        <w:rPr>
          <w:i/>
          <w:iCs/>
        </w:rPr>
        <w:t>Botrytis cinerea</w:t>
      </w:r>
      <w:r w:rsidRPr="00EC5748">
        <w:t>) et à l’anthracnose ou pourriture à maturité des baies chez la vigne (</w:t>
      </w:r>
      <w:proofErr w:type="spellStart"/>
      <w:r w:rsidRPr="00EC5748">
        <w:rPr>
          <w:i/>
          <w:iCs/>
        </w:rPr>
        <w:t>Colletotrichum</w:t>
      </w:r>
      <w:proofErr w:type="spellEnd"/>
      <w:r w:rsidRPr="00EC5748">
        <w:rPr>
          <w:i/>
          <w:iCs/>
        </w:rPr>
        <w:t xml:space="preserve"> </w:t>
      </w:r>
      <w:proofErr w:type="spellStart"/>
      <w:r w:rsidRPr="00EC5748">
        <w:t>spp</w:t>
      </w:r>
      <w:proofErr w:type="spellEnd"/>
      <w:r w:rsidRPr="00EC5748">
        <w:t xml:space="preserve">.) au Québec révèle une forte hétérogénéité régionale, avec des foyers de résistance clairement concentrés dans les principales zones horticoles. </w:t>
      </w:r>
    </w:p>
    <w:p w14:paraId="68B29EDD" w14:textId="77777777" w:rsidR="00222155" w:rsidRPr="00EC5748" w:rsidRDefault="00222155" w:rsidP="00222155">
      <w:pPr>
        <w:jc w:val="both"/>
      </w:pPr>
      <w:r w:rsidRPr="00EC5748">
        <w:t xml:space="preserve">Les régions les plus touchées sont : Chaudière-Appalaches (35,7%); Mauricie (26,8%); Capitale-Nationale (20,5%), Montérégie (11,7%) et Estrie (9,4%). Dans ces régions, on retrouve une plus grande part de souches résistantes que dans le reste du Québec, surtout envers les produits des groupes 7 et 11. </w:t>
      </w:r>
    </w:p>
    <w:p w14:paraId="278560C0" w14:textId="77777777" w:rsidR="00222155" w:rsidRPr="00EC5748" w:rsidRDefault="00222155" w:rsidP="00222155">
      <w:pPr>
        <w:jc w:val="both"/>
      </w:pPr>
    </w:p>
    <w:p w14:paraId="59E2097E" w14:textId="77777777" w:rsidR="00324182" w:rsidRDefault="00324182" w:rsidP="00324182">
      <w:pPr>
        <w:jc w:val="both"/>
        <w:rPr>
          <w:u w:val="single"/>
        </w:rPr>
      </w:pPr>
      <w:r w:rsidRPr="00422E71">
        <w:rPr>
          <w:b/>
          <w:bCs/>
          <w:i/>
          <w:iCs/>
          <w:sz w:val="24"/>
          <w:szCs w:val="24"/>
        </w:rPr>
        <w:t>Botrytis cinerea</w:t>
      </w:r>
    </w:p>
    <w:p w14:paraId="42DD5EC5" w14:textId="02C5ACBA" w:rsidR="00222155" w:rsidRPr="00EC5748" w:rsidRDefault="00324182" w:rsidP="00222155">
      <w:pPr>
        <w:jc w:val="both"/>
      </w:pPr>
      <w:r>
        <w:t>D</w:t>
      </w:r>
      <w:r w:rsidR="00222155" w:rsidRPr="00EC5748">
        <w:t xml:space="preserve">es proportions élevées de souches résistantes sont observées dans plusieurs régions productrices de petits fruits et de vigne. Dans certaines régions, notamment la Chaudière-Appalaches (85, 6%), l’Estrie (84, 6%), la Mauricie (83%) et la Montérégie (72%), les proportions de souches résistantes aux groupes de fongicides 7 et 11 dépassent fréquemment 50 % à 70 % des souches analysées, selon la culture. Ces résultats indiquent que la résistance de </w:t>
      </w:r>
      <w:r w:rsidR="00222155" w:rsidRPr="00EC5748">
        <w:rPr>
          <w:i/>
          <w:iCs/>
        </w:rPr>
        <w:t>B. cinerea</w:t>
      </w:r>
      <w:r w:rsidR="00222155" w:rsidRPr="00EC5748">
        <w:t xml:space="preserve"> est largement distribuée dans les principales zones de production fruitière du Québec. À l’inverse, certaines régions comme la Gaspésie–Îles-de-la-Madeleine ou Laval présentent peu ou pas de cas détectés dans les échantillons analysés.</w:t>
      </w:r>
    </w:p>
    <w:p w14:paraId="41898E2C" w14:textId="77777777" w:rsidR="00222155" w:rsidRPr="00EC5748" w:rsidRDefault="00222155" w:rsidP="00222155">
      <w:pPr>
        <w:jc w:val="both"/>
      </w:pPr>
    </w:p>
    <w:p w14:paraId="48411AE3" w14:textId="77777777" w:rsidR="00324182" w:rsidRPr="00F77045" w:rsidRDefault="00324182" w:rsidP="00324182">
      <w:pPr>
        <w:jc w:val="both"/>
      </w:pPr>
      <w:proofErr w:type="spellStart"/>
      <w:r w:rsidRPr="00F77045">
        <w:rPr>
          <w:b/>
          <w:bCs/>
          <w:i/>
          <w:iCs/>
        </w:rPr>
        <w:t>Colletotrichum</w:t>
      </w:r>
      <w:proofErr w:type="spellEnd"/>
      <w:r w:rsidRPr="00F77045">
        <w:rPr>
          <w:b/>
          <w:bCs/>
          <w:i/>
          <w:iCs/>
        </w:rPr>
        <w:t xml:space="preserve"> </w:t>
      </w:r>
      <w:proofErr w:type="spellStart"/>
      <w:r w:rsidRPr="00F77045">
        <w:rPr>
          <w:b/>
          <w:bCs/>
        </w:rPr>
        <w:t>spp</w:t>
      </w:r>
      <w:proofErr w:type="spellEnd"/>
      <w:r w:rsidRPr="00F77045">
        <w:rPr>
          <w:b/>
          <w:bCs/>
        </w:rPr>
        <w:t>.</w:t>
      </w:r>
    </w:p>
    <w:p w14:paraId="55200952" w14:textId="70DC5872" w:rsidR="00222155" w:rsidRPr="00EC5748" w:rsidRDefault="00324182" w:rsidP="00222155">
      <w:pPr>
        <w:jc w:val="both"/>
      </w:pPr>
      <w:r>
        <w:t>L</w:t>
      </w:r>
      <w:r w:rsidR="00222155" w:rsidRPr="00EC5748">
        <w:t xml:space="preserve">a perte de sensibilité au groupe de fongicides 7 (SDHI) est observée dans toutes les régions et cultures analysées, avec 100 % des souches testées présentant une résistance. Les souches résistantes aux fongicides du groupe 11 ont été principalement détectés dans les régions où les cultures ciblées dans cette étude sont les plus présentes, notamment la Chaudière-Appalaches (63,4%), la Capitale-Nationale (50%), la Mauricie (22%) et la Montérégie (10%). </w:t>
      </w:r>
    </w:p>
    <w:p w14:paraId="491278BD" w14:textId="77777777" w:rsidR="00222155" w:rsidRPr="00EC5748" w:rsidRDefault="00222155" w:rsidP="00222155">
      <w:pPr>
        <w:jc w:val="both"/>
      </w:pPr>
    </w:p>
    <w:p w14:paraId="64AEBE5A" w14:textId="77777777" w:rsidR="00222155" w:rsidRPr="00EC5748" w:rsidRDefault="00222155" w:rsidP="00222155">
      <w:pPr>
        <w:jc w:val="both"/>
      </w:pPr>
      <w:r w:rsidRPr="00EC5748">
        <w:lastRenderedPageBreak/>
        <w:t>Dans l’ensemble, la distribution géographique des souches résistantes reflète principalement les principales zones de production fruitière du Québec ainsi que la provenance des échantillons soumis à l’analyse. Ces résultats soulignent l’importance de maintenir un suivi régional des cas de résistance et d’adapter les stratégies de gestion des fongicides, notamment par l’alternance des groupes de fongicides à moindre risque de développer de la résistance et l’intégration de pratiques culturales complémentaires (ex : l’utilisation de cultivars résistants, l’enlèvement des débris de culture, la taille etc..).</w:t>
      </w:r>
    </w:p>
    <w:p w14:paraId="246460A2" w14:textId="77777777" w:rsidR="00F55EC8" w:rsidRDefault="00F55EC8" w:rsidP="008771FD">
      <w:pPr>
        <w:jc w:val="both"/>
      </w:pPr>
    </w:p>
    <w:p w14:paraId="7D9D108B" w14:textId="77777777" w:rsidR="00B260CA" w:rsidRDefault="00B260CA" w:rsidP="008771FD">
      <w:pPr>
        <w:jc w:val="both"/>
      </w:pPr>
    </w:p>
    <w:p w14:paraId="018F72D4" w14:textId="554B9F64" w:rsidR="00B260CA" w:rsidRPr="00CE4052" w:rsidRDefault="00B260CA" w:rsidP="008771FD">
      <w:pPr>
        <w:jc w:val="both"/>
        <w:rPr>
          <w:b/>
          <w:bCs/>
          <w:sz w:val="28"/>
          <w:szCs w:val="28"/>
        </w:rPr>
      </w:pPr>
      <w:r w:rsidRPr="00CE4052">
        <w:rPr>
          <w:b/>
          <w:bCs/>
          <w:sz w:val="28"/>
          <w:szCs w:val="28"/>
        </w:rPr>
        <w:t>Facteurs influençant l’émergence et la propagation de la résistance</w:t>
      </w:r>
    </w:p>
    <w:p w14:paraId="3551B07B" w14:textId="77777777" w:rsidR="00324182" w:rsidRDefault="00324182" w:rsidP="0051218E">
      <w:pPr>
        <w:jc w:val="both"/>
      </w:pPr>
    </w:p>
    <w:p w14:paraId="5FADF8CF" w14:textId="4BA2883F" w:rsidR="0051218E" w:rsidRPr="00EC5748" w:rsidRDefault="0051218E" w:rsidP="0051218E">
      <w:pPr>
        <w:jc w:val="both"/>
      </w:pPr>
      <w:r w:rsidRPr="00EC5748">
        <w:t>Plusieurs facteurs agronomiques et phytosanitaires peuvent contribuer à l’émergence et à la propagation de la résistance aux fongicides chez les champignons phytopathogènes. L’un des principaux facteurs est l’utilisation répétée de fongicides appartenant au même groupe, laquelle peut exercer une pression de sélection sur les populations de champignons pathogènes et favoriser l’apparition de souches résistantes. Ce phénomène est particulièrement important dans les cultures pérennes comme la vigne, le bleuetier ou le framboisier, dans lesquelles les rotations culturales sont limitées.</w:t>
      </w:r>
    </w:p>
    <w:p w14:paraId="302F0487" w14:textId="77777777" w:rsidR="0051218E" w:rsidRPr="00EC5748" w:rsidRDefault="0051218E" w:rsidP="0051218E">
      <w:pPr>
        <w:jc w:val="both"/>
      </w:pPr>
      <w:r w:rsidRPr="00EC5748">
        <w:t>Les conditions climatiques du Québec, caractérisées par des périodes d’humidité fréquentes au printemps et en été, favorisent le développement de maladies fongiques telles que la moisissure grise et l’anthracnose ou la pourriture à maturité des baies (vigne). Cette situation peut entraîner une augmentation du nombre d’interventions phytosanitaires nécessaires pour protéger les cultures.</w:t>
      </w:r>
    </w:p>
    <w:p w14:paraId="16CD7507" w14:textId="77777777" w:rsidR="0051218E" w:rsidRPr="00EC5748" w:rsidRDefault="0051218E" w:rsidP="0051218E">
      <w:pPr>
        <w:jc w:val="both"/>
      </w:pPr>
    </w:p>
    <w:p w14:paraId="630F5A0B" w14:textId="77777777" w:rsidR="0051218E" w:rsidRPr="00EC5748" w:rsidRDefault="0051218E" w:rsidP="0051218E">
      <w:pPr>
        <w:jc w:val="both"/>
      </w:pPr>
      <w:r w:rsidRPr="00EC5748">
        <w:t>Certaines caractéristiques des systèmes de production, comme la densité de plantation, la gestion de la canopée ou la durée de la période de production, peuvent également influencer la pression des maladies et le recours aux fongicides.</w:t>
      </w:r>
    </w:p>
    <w:p w14:paraId="5EFE434B" w14:textId="77777777" w:rsidR="0051218E" w:rsidRPr="00EC5748" w:rsidRDefault="0051218E" w:rsidP="0051218E">
      <w:pPr>
        <w:jc w:val="both"/>
      </w:pPr>
    </w:p>
    <w:p w14:paraId="5B687248" w14:textId="77777777" w:rsidR="0051218E" w:rsidRPr="00EC5748" w:rsidRDefault="0051218E" w:rsidP="0051218E">
      <w:pPr>
        <w:jc w:val="both"/>
      </w:pPr>
      <w:r w:rsidRPr="00EC5748">
        <w:t xml:space="preserve">Enfin, la présence de populations naturellement moins sensibles à certains groupes de fongicides, comme observé pour </w:t>
      </w:r>
      <w:proofErr w:type="spellStart"/>
      <w:r w:rsidRPr="00EC5748">
        <w:rPr>
          <w:i/>
          <w:iCs/>
        </w:rPr>
        <w:t>Colletotrichum</w:t>
      </w:r>
      <w:proofErr w:type="spellEnd"/>
      <w:r w:rsidRPr="00EC5748">
        <w:rPr>
          <w:i/>
          <w:iCs/>
        </w:rPr>
        <w:t xml:space="preserve"> </w:t>
      </w:r>
      <w:proofErr w:type="spellStart"/>
      <w:r w:rsidRPr="00EC5748">
        <w:t>spp</w:t>
      </w:r>
      <w:proofErr w:type="spellEnd"/>
      <w:r w:rsidRPr="00EC5748">
        <w:t xml:space="preserve">. </w:t>
      </w:r>
      <w:proofErr w:type="gramStart"/>
      <w:r w:rsidRPr="00EC5748">
        <w:t>vis</w:t>
      </w:r>
      <w:proofErr w:type="gramEnd"/>
      <w:r w:rsidRPr="00EC5748">
        <w:t>-à-vis du groupe 7, peut également contribuer aux niveaux élevés de perte de sensibilité observés dans certaines cultures.</w:t>
      </w:r>
    </w:p>
    <w:p w14:paraId="50F50C6C" w14:textId="77777777" w:rsidR="0051218E" w:rsidRPr="00EC5748" w:rsidRDefault="0051218E" w:rsidP="0051218E">
      <w:pPr>
        <w:jc w:val="both"/>
        <w:rPr>
          <w:b/>
          <w:bCs/>
        </w:rPr>
      </w:pPr>
    </w:p>
    <w:p w14:paraId="63EA6406" w14:textId="6FC62D9A" w:rsidR="0051218E" w:rsidRPr="00CD7325" w:rsidRDefault="0051218E" w:rsidP="0051218E">
      <w:pPr>
        <w:jc w:val="both"/>
        <w:rPr>
          <w:b/>
          <w:bCs/>
          <w:sz w:val="28"/>
          <w:szCs w:val="28"/>
        </w:rPr>
      </w:pPr>
      <w:r w:rsidRPr="00CD7325">
        <w:rPr>
          <w:b/>
          <w:bCs/>
          <w:sz w:val="28"/>
          <w:szCs w:val="28"/>
        </w:rPr>
        <w:t>Recommandations stratégiques pour la gestion de la résistance</w:t>
      </w:r>
    </w:p>
    <w:p w14:paraId="1272CA32" w14:textId="77777777" w:rsidR="00324182" w:rsidRDefault="00324182" w:rsidP="0051218E">
      <w:pPr>
        <w:jc w:val="both"/>
      </w:pPr>
    </w:p>
    <w:p w14:paraId="15D02553" w14:textId="19EC1F20" w:rsidR="0051218E" w:rsidRPr="00EC5748" w:rsidRDefault="0051218E" w:rsidP="0051218E">
      <w:pPr>
        <w:jc w:val="both"/>
      </w:pPr>
      <w:r w:rsidRPr="00EC5748">
        <w:t xml:space="preserve">Face aux niveaux de résistance observés chez </w:t>
      </w:r>
      <w:r w:rsidRPr="00EC5748">
        <w:rPr>
          <w:i/>
          <w:iCs/>
        </w:rPr>
        <w:t>Botrytis cinerea</w:t>
      </w:r>
      <w:r w:rsidRPr="00EC5748">
        <w:t xml:space="preserve"> et </w:t>
      </w:r>
      <w:proofErr w:type="spellStart"/>
      <w:r w:rsidRPr="00EC5748">
        <w:rPr>
          <w:i/>
          <w:iCs/>
        </w:rPr>
        <w:t>Colletotrichum</w:t>
      </w:r>
      <w:proofErr w:type="spellEnd"/>
      <w:r w:rsidRPr="00EC5748">
        <w:rPr>
          <w:i/>
          <w:iCs/>
        </w:rPr>
        <w:t xml:space="preserve"> </w:t>
      </w:r>
      <w:proofErr w:type="spellStart"/>
      <w:r w:rsidRPr="00EC5748">
        <w:t>spp</w:t>
      </w:r>
      <w:proofErr w:type="spellEnd"/>
      <w:r w:rsidRPr="00EC5748">
        <w:t>., plusieurs mesures peuvent être envisagées afin de limiter la progression de la résistance et de préserver l’efficacité des outils de lutte disponibles :</w:t>
      </w:r>
    </w:p>
    <w:p w14:paraId="6D34AA21" w14:textId="6D24E733" w:rsidR="0051218E" w:rsidRPr="00EC5748" w:rsidRDefault="0051218E" w:rsidP="00ED7E71">
      <w:pPr>
        <w:pStyle w:val="Paragraphedeliste"/>
        <w:numPr>
          <w:ilvl w:val="0"/>
          <w:numId w:val="10"/>
        </w:numPr>
        <w:jc w:val="both"/>
      </w:pPr>
      <w:r w:rsidRPr="00EC5748">
        <w:t>Alterner les groupes de fongicides au cours de la saison afin de réduire la pression de sélection exercée sur les populations de champignons pathogènes.</w:t>
      </w:r>
    </w:p>
    <w:p w14:paraId="186FB10C" w14:textId="49B5FF94" w:rsidR="0051218E" w:rsidRPr="00EC5748" w:rsidRDefault="0051218E" w:rsidP="00ED7E71">
      <w:pPr>
        <w:pStyle w:val="Paragraphedeliste"/>
        <w:numPr>
          <w:ilvl w:val="0"/>
          <w:numId w:val="10"/>
        </w:numPr>
        <w:jc w:val="both"/>
      </w:pPr>
      <w:r w:rsidRPr="00EC5748">
        <w:t xml:space="preserve">Limiter les applications répétées d’un même mode d’action, particulièrement dans les cultures où des proportions élevées de résistance ont été observées, notamment pour les groupes 7 et 11 dans certaines populations de </w:t>
      </w:r>
      <w:r w:rsidRPr="00ED7E71">
        <w:rPr>
          <w:i/>
          <w:iCs/>
        </w:rPr>
        <w:t>Botrytis cinerea</w:t>
      </w:r>
      <w:r w:rsidRPr="00EC5748">
        <w:t>. Les fongicides du groupe 11 ne devraient être réservés qu’aux situations de dernier recours et être systématiquement associés à d’autres modes d’action, autres que ceux pour lesquels il existe déjà une résistance des populations, dans des programmes de rotation bien structurés.</w:t>
      </w:r>
    </w:p>
    <w:p w14:paraId="0FE7D2FC" w14:textId="77777777" w:rsidR="0051218E" w:rsidRPr="00EC5748" w:rsidRDefault="0051218E" w:rsidP="00ED7E71">
      <w:pPr>
        <w:pStyle w:val="Paragraphedeliste"/>
        <w:numPr>
          <w:ilvl w:val="0"/>
          <w:numId w:val="10"/>
        </w:numPr>
        <w:jc w:val="both"/>
      </w:pPr>
      <w:r w:rsidRPr="00EC5748">
        <w:t xml:space="preserve">Dans le cas de </w:t>
      </w:r>
      <w:proofErr w:type="spellStart"/>
      <w:r w:rsidRPr="00ED7E71">
        <w:rPr>
          <w:i/>
          <w:iCs/>
        </w:rPr>
        <w:t>Colletotrichum</w:t>
      </w:r>
      <w:proofErr w:type="spellEnd"/>
      <w:r w:rsidRPr="00ED7E71">
        <w:rPr>
          <w:i/>
          <w:iCs/>
        </w:rPr>
        <w:t xml:space="preserve"> </w:t>
      </w:r>
      <w:proofErr w:type="spellStart"/>
      <w:r w:rsidRPr="00EC5748">
        <w:t>spp</w:t>
      </w:r>
      <w:proofErr w:type="spellEnd"/>
      <w:r w:rsidRPr="00EC5748">
        <w:t xml:space="preserve">., les résultats indiquent une perte de sensibilité généralisée au groupe 7 dans les populations analysées. Cette situation souligne l’importance d’intégrer d’autres groupes de fongicides lorsque disponibles, ainsi que des stratégies complémentaires de gestion telles que l’utilisation d’agents de biocontrôle (ex. </w:t>
      </w:r>
      <w:proofErr w:type="spellStart"/>
      <w:r w:rsidRPr="00ED7E71">
        <w:rPr>
          <w:i/>
          <w:iCs/>
        </w:rPr>
        <w:t>Trichoderma</w:t>
      </w:r>
      <w:proofErr w:type="spellEnd"/>
      <w:r w:rsidRPr="00ED7E71">
        <w:rPr>
          <w:i/>
          <w:iCs/>
        </w:rPr>
        <w:t xml:space="preserve"> </w:t>
      </w:r>
      <w:proofErr w:type="spellStart"/>
      <w:r w:rsidRPr="00ED7E71">
        <w:rPr>
          <w:i/>
          <w:iCs/>
        </w:rPr>
        <w:t>spp</w:t>
      </w:r>
      <w:proofErr w:type="spellEnd"/>
      <w:r w:rsidRPr="00ED7E71">
        <w:rPr>
          <w:i/>
          <w:iCs/>
        </w:rPr>
        <w:t>.</w:t>
      </w:r>
      <w:r w:rsidRPr="00EC5748">
        <w:t xml:space="preserve">, </w:t>
      </w:r>
      <w:r w:rsidRPr="00ED7E71">
        <w:rPr>
          <w:i/>
          <w:iCs/>
        </w:rPr>
        <w:t xml:space="preserve">Bacillus </w:t>
      </w:r>
      <w:proofErr w:type="spellStart"/>
      <w:r w:rsidRPr="00ED7E71">
        <w:rPr>
          <w:i/>
          <w:iCs/>
        </w:rPr>
        <w:t>spp</w:t>
      </w:r>
      <w:proofErr w:type="spellEnd"/>
      <w:r w:rsidRPr="00ED7E71">
        <w:rPr>
          <w:i/>
          <w:iCs/>
        </w:rPr>
        <w:t>.</w:t>
      </w:r>
      <w:r w:rsidRPr="00EC5748">
        <w:t>).</w:t>
      </w:r>
    </w:p>
    <w:p w14:paraId="4B95B4CF" w14:textId="554EFCD6" w:rsidR="0051218E" w:rsidRPr="00EC5748" w:rsidRDefault="0051218E" w:rsidP="00ED7E71">
      <w:pPr>
        <w:pStyle w:val="Paragraphedeliste"/>
        <w:numPr>
          <w:ilvl w:val="0"/>
          <w:numId w:val="10"/>
        </w:numPr>
        <w:jc w:val="both"/>
      </w:pPr>
      <w:r w:rsidRPr="00EC5748">
        <w:t>Optimiser les pratiques culturales visant à réduire la pression des maladies (ex : l’amélioration de la gestion de la canopée; l’élimination des résidus végétaux infectés…).</w:t>
      </w:r>
    </w:p>
    <w:p w14:paraId="494649EE" w14:textId="5EB9EDBE" w:rsidR="0051218E" w:rsidRPr="00EC5748" w:rsidRDefault="0051218E" w:rsidP="00ED7E71">
      <w:pPr>
        <w:pStyle w:val="Paragraphedeliste"/>
        <w:numPr>
          <w:ilvl w:val="0"/>
          <w:numId w:val="10"/>
        </w:numPr>
        <w:jc w:val="both"/>
      </w:pPr>
      <w:r w:rsidRPr="00EC5748">
        <w:t>Renforcer la surveillance de la résistance en encourageant le recours aux tests de détection de la résistance, si disponible, lors de perte observée d’efficacité des traitements.</w:t>
      </w:r>
    </w:p>
    <w:p w14:paraId="288F1C69" w14:textId="32FF42E0" w:rsidR="0051218E" w:rsidRPr="00EC5748" w:rsidRDefault="0051218E" w:rsidP="00ED7E71">
      <w:pPr>
        <w:pStyle w:val="Paragraphedeliste"/>
        <w:numPr>
          <w:ilvl w:val="0"/>
          <w:numId w:val="10"/>
        </w:numPr>
        <w:jc w:val="both"/>
      </w:pPr>
      <w:r w:rsidRPr="00EC5748">
        <w:t>Diffuser régulièrement les résultats de la surveillance auprès des producteurs et des conseillers agricoles afin de soutenir l’adaptation des stratégies de protection des cultures à la situation régionale.</w:t>
      </w:r>
    </w:p>
    <w:p w14:paraId="15419FAB" w14:textId="5109C429" w:rsidR="0051218E" w:rsidRPr="00EC5748" w:rsidRDefault="0051218E" w:rsidP="00ED7E71">
      <w:pPr>
        <w:pStyle w:val="Paragraphedeliste"/>
        <w:numPr>
          <w:ilvl w:val="0"/>
          <w:numId w:val="10"/>
        </w:numPr>
        <w:jc w:val="both"/>
      </w:pPr>
      <w:r w:rsidRPr="00EC5748">
        <w:t>Poursuivre les efforts de recherche, d’expérimentation et d’acquisition des connaissances afin d’évaluer l’efficacité et la faisabilité d’approches alternatives, afin d’améliorer les stratégies de gestion intégrée des maladies et aussi mieux comprendre les mécanismes associés au développement de la résistance dans les conditions de production du Québec.</w:t>
      </w:r>
    </w:p>
    <w:p w14:paraId="04B19C67" w14:textId="45BDAB19" w:rsidR="00B260CA" w:rsidRPr="0069489F" w:rsidRDefault="0069489F" w:rsidP="008771FD">
      <w:pPr>
        <w:jc w:val="both"/>
        <w:rPr>
          <w:b/>
          <w:bCs/>
          <w:sz w:val="28"/>
          <w:szCs w:val="28"/>
        </w:rPr>
      </w:pPr>
      <w:r w:rsidRPr="0069489F">
        <w:rPr>
          <w:b/>
          <w:bCs/>
          <w:sz w:val="28"/>
          <w:szCs w:val="28"/>
        </w:rPr>
        <w:lastRenderedPageBreak/>
        <w:t>Conclusion et perspectives</w:t>
      </w:r>
    </w:p>
    <w:p w14:paraId="4AF4F90C" w14:textId="77777777" w:rsidR="00324182" w:rsidRDefault="00324182" w:rsidP="005B1C3E">
      <w:pPr>
        <w:jc w:val="both"/>
      </w:pPr>
    </w:p>
    <w:p w14:paraId="5BC72EE8" w14:textId="683817C6" w:rsidR="005B1C3E" w:rsidRPr="00EC5748" w:rsidRDefault="005B1C3E" w:rsidP="005B1C3E">
      <w:pPr>
        <w:jc w:val="both"/>
      </w:pPr>
      <w:r w:rsidRPr="00EC5748">
        <w:t>Le portrait dressé sur la période 2023 à 2025 confirme que la résistance aux fongicides représente une réalité généralisée au Québec, touchant à des degrés divers l’ensemble des cultures fruitières. La situation est particulièrement critique pour l’anthracnose / pourriture à maturé des baies (vigne), avec laquelle les souches semblent être insensibles aux fongicides du groupe 7, ainsi que chez la moisissure grise, où plus de 80 % des souches sont résistantes aux fongicides du groupe 11 dans plusieurs combinaisons région</w:t>
      </w:r>
      <w:r w:rsidRPr="00EC5748">
        <w:noBreakHyphen/>
        <w:t>culture. Ces tendances appellent à une réaction rapide et coordonnée de l’ensemble de la filière, des producteurs jusqu’aux instances de recherche et de régulation.</w:t>
      </w:r>
    </w:p>
    <w:p w14:paraId="035F6595" w14:textId="77777777" w:rsidR="005B1C3E" w:rsidRPr="00EC5748" w:rsidRDefault="005B1C3E" w:rsidP="005B1C3E">
      <w:pPr>
        <w:jc w:val="both"/>
      </w:pPr>
      <w:r w:rsidRPr="00EC5748">
        <w:t xml:space="preserve">Les recommandations formulées dans ce document visent à fournir un cadre d’action opérationnel pour la prochaine saison 2026 et au-delà, en privilégiant une approche intégrée qui combine la rotation raisonnée des groupes de fongicides, le recours accru au biocontrôle et l’optimisation des pratiques culturales. La réussite de cette transition dépendra cependant de la capacité à mobiliser les acteurs, à financer la recherche d’alternatives et à maintenir un système de surveillance efficace et représentatif de l’ensemble du territoire. </w:t>
      </w:r>
    </w:p>
    <w:p w14:paraId="7DC8BCCC" w14:textId="77777777" w:rsidR="005B1C3E" w:rsidRPr="00EC5748" w:rsidRDefault="005B1C3E" w:rsidP="005B1C3E">
      <w:pPr>
        <w:jc w:val="both"/>
      </w:pPr>
    </w:p>
    <w:p w14:paraId="18FFDCBE" w14:textId="77777777" w:rsidR="005B1C3E" w:rsidRPr="00EC5748" w:rsidRDefault="005B1C3E" w:rsidP="005B1C3E">
      <w:pPr>
        <w:jc w:val="both"/>
      </w:pPr>
      <w:r w:rsidRPr="00EC5748">
        <w:t>Le suivi régulier des indicateurs-clés, tels que le volume d’utilisation des groupes à risque, de l’adoption des rotations des groupes de fongicides et de l’émergence de nouvelles résistances multiples, permettra d’ajuster les stratégies en temps réel et de préserver à long terme l’efficacité des outils de protection des cultures.</w:t>
      </w:r>
    </w:p>
    <w:p w14:paraId="2AC4179A" w14:textId="77777777" w:rsidR="005B1C3E" w:rsidRPr="00EC5748" w:rsidRDefault="005B1C3E" w:rsidP="005B1C3E">
      <w:pPr>
        <w:jc w:val="both"/>
        <w:rPr>
          <w:b/>
          <w:bCs/>
        </w:rPr>
      </w:pPr>
    </w:p>
    <w:p w14:paraId="3FCA39B9" w14:textId="1067CB4E" w:rsidR="005B1C3E" w:rsidRPr="00EC5748" w:rsidRDefault="005B1C3E" w:rsidP="005B1C3E">
      <w:pPr>
        <w:jc w:val="both"/>
      </w:pPr>
      <w:r w:rsidRPr="00EC5748">
        <w:t xml:space="preserve">Pour toute demande d’analyse ou d’information sur les tests de détection de la résistance, les producteurs et conseillers peuvent contacter le Laboratoire d’expertise et de diagnostic en phytoprotection (LEDP) du MAPAQ, dont les services de tests de résistance moléculaire </w:t>
      </w:r>
      <w:r w:rsidR="00422E71">
        <w:t xml:space="preserve">pourront être </w:t>
      </w:r>
      <w:r w:rsidRPr="00EC5748">
        <w:t>bientôt accessibles.</w:t>
      </w:r>
    </w:p>
    <w:p w14:paraId="4C1552AF" w14:textId="77777777" w:rsidR="005B1C3E" w:rsidRPr="00EC5748" w:rsidRDefault="005B1C3E" w:rsidP="005B1C3E">
      <w:pPr>
        <w:jc w:val="both"/>
      </w:pPr>
      <w:r w:rsidRPr="00EC5748">
        <w:t xml:space="preserve"> </w:t>
      </w:r>
    </w:p>
    <w:p w14:paraId="6911F3AA" w14:textId="77777777" w:rsidR="005B1C3E" w:rsidRPr="00EC5748" w:rsidRDefault="005B1C3E" w:rsidP="005B1C3E">
      <w:pPr>
        <w:jc w:val="both"/>
      </w:pPr>
      <w:r w:rsidRPr="00EC5748">
        <w:t>Pour approfondir la compréhension du phénomène de résistance et des stratégies de gestion, plusieurs webinaires de vulgarisation sont disponibles sur Agri-Réseau. Ces présentations expliquent les mécanismes biologiques de la résistance, l’état de la situation au Québec et les pratiques permettant de la prévenir et de la gérer au champ :</w:t>
      </w:r>
    </w:p>
    <w:p w14:paraId="70BDB6C4" w14:textId="77777777" w:rsidR="005B1C3E" w:rsidRPr="00EC5748" w:rsidRDefault="005B1C3E" w:rsidP="005B1C3E">
      <w:pPr>
        <w:jc w:val="both"/>
      </w:pPr>
    </w:p>
    <w:p w14:paraId="391980A1" w14:textId="7BF9A3DC" w:rsidR="005B1C3E" w:rsidRPr="00EC5748" w:rsidRDefault="005B1C3E" w:rsidP="002B761F">
      <w:pPr>
        <w:pStyle w:val="Paragraphedeliste"/>
        <w:numPr>
          <w:ilvl w:val="0"/>
          <w:numId w:val="11"/>
        </w:numPr>
      </w:pPr>
      <w:r w:rsidRPr="00EC5748">
        <w:t>Développement de la résistance : mécanismes de fonctionnement</w:t>
      </w:r>
      <w:r w:rsidRPr="00EC5748">
        <w:br/>
      </w:r>
      <w:hyperlink r:id="rId10" w:tgtFrame="_new" w:history="1">
        <w:r w:rsidRPr="00A32ED1">
          <w:rPr>
            <w:rStyle w:val="Hyperlien"/>
            <w:u w:val="none"/>
          </w:rPr>
          <w:t>https://www.agrireseau.net/videos/115151/developpement-de-la-resistance-mecanismes-de-fonctionnement</w:t>
        </w:r>
      </w:hyperlink>
    </w:p>
    <w:p w14:paraId="22686B0B" w14:textId="27A4EB35" w:rsidR="005B1C3E" w:rsidRPr="00EC5748" w:rsidRDefault="005B1C3E" w:rsidP="002B761F">
      <w:pPr>
        <w:pStyle w:val="Paragraphedeliste"/>
        <w:numPr>
          <w:ilvl w:val="0"/>
          <w:numId w:val="11"/>
        </w:numPr>
      </w:pPr>
      <w:r w:rsidRPr="00EC5748">
        <w:t>Prévention et gestion de la résistance au champ</w:t>
      </w:r>
      <w:r w:rsidRPr="00EC5748">
        <w:br/>
      </w:r>
      <w:hyperlink r:id="rId11" w:tgtFrame="_new" w:history="1">
        <w:r w:rsidRPr="00A32ED1">
          <w:rPr>
            <w:rStyle w:val="Hyperlien"/>
            <w:u w:val="none"/>
          </w:rPr>
          <w:t>https://www.agrireseau.net/videos/115153/prevention-et-gestion-de-la-resistance-aux-champs</w:t>
        </w:r>
      </w:hyperlink>
    </w:p>
    <w:p w14:paraId="1ADF5493" w14:textId="199F2E8D" w:rsidR="005B1C3E" w:rsidRPr="00EC5748" w:rsidRDefault="005B1C3E" w:rsidP="002B761F">
      <w:pPr>
        <w:pStyle w:val="Paragraphedeliste"/>
        <w:numPr>
          <w:ilvl w:val="0"/>
          <w:numId w:val="11"/>
        </w:numPr>
      </w:pPr>
      <w:r w:rsidRPr="00EC5748">
        <w:t>État des lieux de la résistance au Québec</w:t>
      </w:r>
      <w:r w:rsidRPr="00EC5748">
        <w:br/>
      </w:r>
      <w:hyperlink r:id="rId12" w:tgtFrame="_new" w:history="1">
        <w:r w:rsidRPr="00A32ED1">
          <w:rPr>
            <w:rStyle w:val="Hyperlien"/>
            <w:u w:val="none"/>
          </w:rPr>
          <w:t>https://www.agrireseau.net/videos/115152/etat-des-lieux-de-la-resistance-au-quebec</w:t>
        </w:r>
      </w:hyperlink>
    </w:p>
    <w:p w14:paraId="04BC3B23" w14:textId="77777777" w:rsidR="005B1C3E" w:rsidRDefault="005B1C3E" w:rsidP="005B1C3E">
      <w:pPr>
        <w:jc w:val="both"/>
        <w:rPr>
          <w:b/>
          <w:bCs/>
        </w:rPr>
      </w:pPr>
    </w:p>
    <w:p w14:paraId="17237D21" w14:textId="77777777" w:rsidR="00324182" w:rsidRDefault="00324182" w:rsidP="005B1C3E">
      <w:pPr>
        <w:jc w:val="both"/>
        <w:rPr>
          <w:b/>
          <w:bCs/>
        </w:rPr>
      </w:pPr>
    </w:p>
    <w:p w14:paraId="5099AD56" w14:textId="77777777" w:rsidR="00572226" w:rsidRDefault="003C4757" w:rsidP="005B1C3E">
      <w:pPr>
        <w:jc w:val="both"/>
      </w:pPr>
      <w:r w:rsidRPr="003C4757">
        <w:t>Ce</w:t>
      </w:r>
      <w:r>
        <w:t xml:space="preserve"> </w:t>
      </w:r>
      <w:r w:rsidR="00957ABA">
        <w:t>document a</w:t>
      </w:r>
      <w:r w:rsidRPr="003C4757">
        <w:t xml:space="preserve"> été rédigé par </w:t>
      </w:r>
      <w:r w:rsidR="00957ABA">
        <w:t xml:space="preserve">Julien Vivancos, phytopathologiste </w:t>
      </w:r>
      <w:r w:rsidRPr="003C4757">
        <w:t>(MAPAQ)</w:t>
      </w:r>
      <w:r w:rsidR="00957ABA">
        <w:t xml:space="preserve"> en collaboration avec </w:t>
      </w:r>
      <w:r w:rsidR="00011199">
        <w:t xml:space="preserve">Annie Marcoux, agr. (MAPAQ) et les avertisseurs du RAP </w:t>
      </w:r>
      <w:r w:rsidR="0008584F">
        <w:t>p</w:t>
      </w:r>
      <w:r w:rsidR="00011199">
        <w:t>etits fruits (Christian Lacroix, Stéphanie Paten</w:t>
      </w:r>
      <w:r w:rsidR="0008584F">
        <w:t>aude, Stéphanie Tellier) et du RAP vigne (Karine Bergeron)</w:t>
      </w:r>
      <w:r w:rsidRPr="003C4757">
        <w:t xml:space="preserve">. </w:t>
      </w:r>
    </w:p>
    <w:p w14:paraId="2F5FA616" w14:textId="52102649" w:rsidR="00324182" w:rsidRDefault="003C4757" w:rsidP="005B1C3E">
      <w:pPr>
        <w:jc w:val="both"/>
        <w:rPr>
          <w:b/>
          <w:bCs/>
        </w:rPr>
      </w:pPr>
      <w:r w:rsidRPr="003C4757">
        <w:t>La reproduction de ce document ou de l’une de ses parties est autorisée à condition d’en mentionner la source. Toute utilisation à des fins commerciales ou publicitaires est cependant strictement interdite</w:t>
      </w:r>
      <w:r w:rsidRPr="003C4757">
        <w:rPr>
          <w:b/>
          <w:bCs/>
          <w:i/>
          <w:iCs/>
        </w:rPr>
        <w:t>.</w:t>
      </w:r>
    </w:p>
    <w:p w14:paraId="7CF93D86" w14:textId="77777777" w:rsidR="00324182" w:rsidRDefault="00324182" w:rsidP="005B1C3E">
      <w:pPr>
        <w:jc w:val="both"/>
        <w:rPr>
          <w:b/>
          <w:bCs/>
        </w:rPr>
      </w:pPr>
    </w:p>
    <w:p w14:paraId="04C22ED2" w14:textId="77777777" w:rsidR="00324182" w:rsidRDefault="00324182" w:rsidP="005B1C3E">
      <w:pPr>
        <w:jc w:val="both"/>
        <w:rPr>
          <w:b/>
          <w:bCs/>
        </w:rPr>
      </w:pPr>
    </w:p>
    <w:p w14:paraId="443555E0" w14:textId="77777777" w:rsidR="005B1C3E" w:rsidRPr="00EC5748" w:rsidRDefault="005B1C3E" w:rsidP="005B1C3E">
      <w:pPr>
        <w:jc w:val="both"/>
      </w:pPr>
      <w:r w:rsidRPr="00EC5748">
        <w:rPr>
          <w:b/>
          <w:bCs/>
        </w:rPr>
        <w:t>La collaboration de tous les acteurs demeure essentielle pour garantir la représentativité de ce portrait et adapter collectivement les pratiques à l’évolution des défis phytosanitaires!</w:t>
      </w:r>
    </w:p>
    <w:p w14:paraId="7AAACCFF" w14:textId="66CE6EE6" w:rsidR="008D5E8A" w:rsidRDefault="008D5E8A" w:rsidP="008771FD">
      <w:pPr>
        <w:jc w:val="both"/>
      </w:pPr>
      <w:r w:rsidRPr="00757965">
        <w:t xml:space="preserve">     </w:t>
      </w:r>
    </w:p>
    <w:p w14:paraId="2FA1DB88" w14:textId="77777777" w:rsidR="000E15B7" w:rsidRDefault="000E15B7" w:rsidP="008771FD">
      <w:pPr>
        <w:jc w:val="both"/>
      </w:pPr>
    </w:p>
    <w:p w14:paraId="32A490D2" w14:textId="14F021B4" w:rsidR="00C62E60" w:rsidRDefault="00C62E60">
      <w:pPr>
        <w:rPr>
          <w:b/>
          <w:bCs/>
          <w:u w:val="single"/>
        </w:rPr>
      </w:pPr>
      <w:r>
        <w:rPr>
          <w:b/>
          <w:bCs/>
          <w:u w:val="single"/>
        </w:rPr>
        <w:br w:type="page"/>
      </w:r>
    </w:p>
    <w:p w14:paraId="07481B7C" w14:textId="3B57CEC8" w:rsidR="000E15B7" w:rsidRPr="00EC5748" w:rsidRDefault="000E15B7" w:rsidP="000E15B7">
      <w:pPr>
        <w:jc w:val="both"/>
        <w:rPr>
          <w:b/>
          <w:bCs/>
          <w:u w:val="single"/>
        </w:rPr>
      </w:pPr>
      <w:r w:rsidRPr="00EC5748">
        <w:rPr>
          <w:b/>
          <w:bCs/>
          <w:u w:val="single"/>
        </w:rPr>
        <w:lastRenderedPageBreak/>
        <w:t>ANNEXE 1</w:t>
      </w:r>
    </w:p>
    <w:p w14:paraId="74531EF0" w14:textId="77777777" w:rsidR="000E15B7" w:rsidRPr="00EC5748" w:rsidRDefault="000E15B7" w:rsidP="000E15B7">
      <w:pPr>
        <w:jc w:val="both"/>
        <w:rPr>
          <w:b/>
          <w:bCs/>
        </w:rPr>
      </w:pPr>
    </w:p>
    <w:p w14:paraId="33D6D48D" w14:textId="77777777" w:rsidR="000E15B7" w:rsidRPr="00EC5748" w:rsidRDefault="000E15B7" w:rsidP="000E15B7">
      <w:pPr>
        <w:jc w:val="both"/>
      </w:pPr>
      <w:r w:rsidRPr="00EC5748">
        <w:t xml:space="preserve">Les tableaux suivants présentent les champignons phytopathogènes </w:t>
      </w:r>
      <w:r w:rsidRPr="00EC5748">
        <w:rPr>
          <w:i/>
          <w:iCs/>
        </w:rPr>
        <w:t>(Botrytis cinerea</w:t>
      </w:r>
      <w:r w:rsidRPr="00EC5748">
        <w:t xml:space="preserve"> et </w:t>
      </w:r>
      <w:proofErr w:type="spellStart"/>
      <w:r w:rsidRPr="00EC5748">
        <w:rPr>
          <w:i/>
          <w:iCs/>
        </w:rPr>
        <w:t>Colletotrichum</w:t>
      </w:r>
      <w:proofErr w:type="spellEnd"/>
      <w:r w:rsidRPr="00EC5748">
        <w:rPr>
          <w:i/>
          <w:iCs/>
        </w:rPr>
        <w:t xml:space="preserve"> </w:t>
      </w:r>
      <w:proofErr w:type="spellStart"/>
      <w:r w:rsidRPr="00EC5748">
        <w:t>spp</w:t>
      </w:r>
      <w:proofErr w:type="spellEnd"/>
      <w:r w:rsidRPr="00EC5748">
        <w:t xml:space="preserve">.) dont la résistance aux fongicides a été confirmée au Québec (2023-2025). </w:t>
      </w:r>
    </w:p>
    <w:p w14:paraId="53A4E656" w14:textId="77777777" w:rsidR="000E15B7" w:rsidRPr="00EC5748" w:rsidRDefault="000E15B7" w:rsidP="000E15B7">
      <w:pPr>
        <w:jc w:val="both"/>
      </w:pPr>
      <w:r w:rsidRPr="00EC5748">
        <w:t xml:space="preserve">Pour chaque culture, les données sont regroupées par groupe de fongicide testé et indiquent, pour chacun, le pourcentage correspondant du nombre total de souches résistantes. </w:t>
      </w:r>
    </w:p>
    <w:p w14:paraId="78254529" w14:textId="77777777" w:rsidR="000E15B7" w:rsidRPr="00EC5748" w:rsidRDefault="000E15B7" w:rsidP="000E15B7">
      <w:pPr>
        <w:jc w:val="both"/>
        <w:rPr>
          <w:b/>
          <w:bCs/>
        </w:rPr>
      </w:pPr>
    </w:p>
    <w:p w14:paraId="48DB2084" w14:textId="77777777" w:rsidR="000E15B7" w:rsidRPr="00EC5748" w:rsidRDefault="000E15B7" w:rsidP="000E15B7">
      <w:pPr>
        <w:jc w:val="both"/>
        <w:rPr>
          <w:b/>
          <w:bCs/>
          <w:color w:val="709FDB" w:themeColor="text2" w:themeTint="80"/>
        </w:rPr>
      </w:pPr>
      <w:r w:rsidRPr="00EC5748">
        <w:rPr>
          <w:b/>
          <w:bCs/>
          <w:color w:val="709FDB" w:themeColor="text2" w:themeTint="80"/>
        </w:rPr>
        <w:t>- Bleuetier en corymbe -</w:t>
      </w:r>
    </w:p>
    <w:tbl>
      <w:tblPr>
        <w:tblW w:w="9923" w:type="dxa"/>
        <w:tblInd w:w="-572" w:type="dxa"/>
        <w:tblCellMar>
          <w:left w:w="70" w:type="dxa"/>
          <w:right w:w="70" w:type="dxa"/>
        </w:tblCellMar>
        <w:tblLook w:val="04A0" w:firstRow="1" w:lastRow="0" w:firstColumn="1" w:lastColumn="0" w:noHBand="0" w:noVBand="1"/>
      </w:tblPr>
      <w:tblGrid>
        <w:gridCol w:w="1911"/>
        <w:gridCol w:w="1241"/>
        <w:gridCol w:w="1276"/>
        <w:gridCol w:w="1302"/>
        <w:gridCol w:w="1842"/>
        <w:gridCol w:w="2351"/>
      </w:tblGrid>
      <w:tr w:rsidR="000E15B7" w:rsidRPr="00EC5748" w14:paraId="108F8AE9" w14:textId="77777777" w:rsidTr="00EC5748">
        <w:trPr>
          <w:trHeight w:val="864"/>
        </w:trPr>
        <w:tc>
          <w:tcPr>
            <w:tcW w:w="1931" w:type="dxa"/>
            <w:tcBorders>
              <w:top w:val="single" w:sz="4" w:space="0" w:color="auto"/>
              <w:left w:val="single" w:sz="4" w:space="0" w:color="auto"/>
              <w:right w:val="single" w:sz="4" w:space="0" w:color="auto"/>
            </w:tcBorders>
            <w:shd w:val="clear" w:color="auto" w:fill="E1EBF7" w:themeFill="text2" w:themeFillTint="1A"/>
            <w:vAlign w:val="center"/>
            <w:hideMark/>
          </w:tcPr>
          <w:p w14:paraId="197B5414" w14:textId="77777777" w:rsidR="000E15B7" w:rsidRPr="00EC5748" w:rsidRDefault="000E15B7" w:rsidP="00EC5748">
            <w:pPr>
              <w:jc w:val="center"/>
              <w:rPr>
                <w:rFonts w:eastAsia="Times New Roman"/>
                <w:b/>
                <w:bCs/>
                <w:lang w:eastAsia="fr-CA"/>
              </w:rPr>
            </w:pPr>
            <w:r w:rsidRPr="00EC5748">
              <w:rPr>
                <w:rFonts w:eastAsia="Times New Roman"/>
                <w:b/>
                <w:bCs/>
                <w:lang w:eastAsia="fr-CA"/>
              </w:rPr>
              <w:t>Champignon</w:t>
            </w:r>
          </w:p>
        </w:tc>
        <w:tc>
          <w:tcPr>
            <w:tcW w:w="1188"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2B553ADD" w14:textId="77777777" w:rsidR="000E15B7" w:rsidRPr="00EC5748" w:rsidRDefault="000E15B7" w:rsidP="00EC5748">
            <w:pPr>
              <w:jc w:val="center"/>
              <w:rPr>
                <w:rFonts w:eastAsia="Times New Roman"/>
                <w:b/>
                <w:bCs/>
                <w:lang w:eastAsia="fr-CA"/>
              </w:rPr>
            </w:pPr>
            <w:r w:rsidRPr="00EC5748">
              <w:rPr>
                <w:rFonts w:eastAsia="Times New Roman"/>
                <w:b/>
                <w:bCs/>
                <w:lang w:eastAsia="fr-CA"/>
              </w:rPr>
              <w:t>Groupe(s) de fongicides FRAC</w:t>
            </w:r>
          </w:p>
        </w:tc>
        <w:tc>
          <w:tcPr>
            <w:tcW w:w="1276"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7FC00194" w14:textId="77777777" w:rsidR="000E15B7" w:rsidRPr="00EC5748" w:rsidRDefault="000E15B7" w:rsidP="00EC5748">
            <w:pPr>
              <w:jc w:val="center"/>
              <w:rPr>
                <w:rFonts w:eastAsia="Times New Roman"/>
                <w:b/>
                <w:bCs/>
                <w:lang w:eastAsia="fr-CA"/>
              </w:rPr>
            </w:pPr>
            <w:r w:rsidRPr="00EC5748">
              <w:rPr>
                <w:rFonts w:eastAsia="Times New Roman"/>
                <w:b/>
                <w:bCs/>
                <w:lang w:eastAsia="fr-CA"/>
              </w:rPr>
              <w:t>Nombre de souches testées</w:t>
            </w:r>
          </w:p>
        </w:tc>
        <w:tc>
          <w:tcPr>
            <w:tcW w:w="1276"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04098E0B" w14:textId="77777777" w:rsidR="000E15B7" w:rsidRPr="00EC5748" w:rsidRDefault="000E15B7" w:rsidP="00EC5748">
            <w:pPr>
              <w:jc w:val="center"/>
              <w:rPr>
                <w:rFonts w:eastAsia="Times New Roman"/>
                <w:b/>
                <w:bCs/>
                <w:lang w:eastAsia="fr-CA"/>
              </w:rPr>
            </w:pPr>
            <w:r w:rsidRPr="00EC5748">
              <w:rPr>
                <w:rFonts w:eastAsia="Times New Roman"/>
                <w:b/>
                <w:bCs/>
                <w:lang w:eastAsia="fr-CA"/>
              </w:rPr>
              <w:t>Nombre de souches résistantes</w:t>
            </w:r>
          </w:p>
        </w:tc>
        <w:tc>
          <w:tcPr>
            <w:tcW w:w="1842"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7D9AF876" w14:textId="77777777" w:rsidR="000E15B7" w:rsidRPr="00EC5748" w:rsidRDefault="000E15B7" w:rsidP="00EC5748">
            <w:pPr>
              <w:jc w:val="center"/>
              <w:rPr>
                <w:rFonts w:eastAsia="Times New Roman"/>
                <w:b/>
                <w:bCs/>
                <w:lang w:eastAsia="fr-CA"/>
              </w:rPr>
            </w:pPr>
            <w:r w:rsidRPr="00EC5748">
              <w:rPr>
                <w:rFonts w:eastAsia="Times New Roman"/>
                <w:b/>
                <w:bCs/>
                <w:lang w:eastAsia="fr-CA"/>
              </w:rPr>
              <w:t>% des souches résistantes (groupe fongicide)</w:t>
            </w:r>
          </w:p>
        </w:tc>
        <w:tc>
          <w:tcPr>
            <w:tcW w:w="2410"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3D3AB71C" w14:textId="77777777" w:rsidR="000E15B7" w:rsidRPr="00EC5748" w:rsidRDefault="000E15B7" w:rsidP="00EC5748">
            <w:pPr>
              <w:jc w:val="center"/>
              <w:rPr>
                <w:rFonts w:eastAsia="Times New Roman"/>
                <w:b/>
                <w:bCs/>
                <w:lang w:eastAsia="fr-CA"/>
              </w:rPr>
            </w:pPr>
            <w:r w:rsidRPr="00EC5748">
              <w:rPr>
                <w:rFonts w:eastAsia="Times New Roman"/>
                <w:b/>
                <w:bCs/>
                <w:lang w:eastAsia="fr-CA"/>
              </w:rPr>
              <w:t>% des souches résistantes à au moins un groupe de fongicide*</w:t>
            </w:r>
          </w:p>
        </w:tc>
      </w:tr>
      <w:tr w:rsidR="000E15B7" w:rsidRPr="00EC5748" w14:paraId="45FC753A" w14:textId="77777777" w:rsidTr="00EC5748">
        <w:trPr>
          <w:trHeight w:val="288"/>
        </w:trPr>
        <w:tc>
          <w:tcPr>
            <w:tcW w:w="1931" w:type="dxa"/>
            <w:vMerge w:val="restart"/>
            <w:tcBorders>
              <w:top w:val="nil"/>
              <w:left w:val="single" w:sz="4" w:space="0" w:color="auto"/>
              <w:right w:val="nil"/>
            </w:tcBorders>
            <w:vAlign w:val="center"/>
            <w:hideMark/>
          </w:tcPr>
          <w:p w14:paraId="6DD0C909" w14:textId="77777777" w:rsidR="000E15B7" w:rsidRPr="00EC5748" w:rsidRDefault="000E15B7" w:rsidP="00EC5748">
            <w:pPr>
              <w:jc w:val="center"/>
              <w:rPr>
                <w:rFonts w:eastAsia="Times New Roman"/>
                <w:i/>
                <w:iCs/>
                <w:color w:val="000000"/>
                <w:lang w:eastAsia="fr-CA"/>
              </w:rPr>
            </w:pPr>
            <w:r w:rsidRPr="00EC5748">
              <w:rPr>
                <w:rFonts w:eastAsia="Times New Roman"/>
                <w:i/>
                <w:iCs/>
                <w:color w:val="000000"/>
                <w:lang w:eastAsia="fr-CA"/>
              </w:rPr>
              <w:t>Botrytis cinerea</w:t>
            </w:r>
          </w:p>
        </w:tc>
        <w:tc>
          <w:tcPr>
            <w:tcW w:w="1188" w:type="dxa"/>
            <w:tcBorders>
              <w:top w:val="nil"/>
              <w:left w:val="nil"/>
              <w:bottom w:val="single" w:sz="4" w:space="0" w:color="auto"/>
              <w:right w:val="nil"/>
            </w:tcBorders>
            <w:vAlign w:val="center"/>
            <w:hideMark/>
          </w:tcPr>
          <w:p w14:paraId="7DBD478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276" w:type="dxa"/>
            <w:tcBorders>
              <w:top w:val="nil"/>
              <w:left w:val="nil"/>
              <w:bottom w:val="single" w:sz="4" w:space="0" w:color="auto"/>
              <w:right w:val="nil"/>
            </w:tcBorders>
            <w:noWrap/>
            <w:vAlign w:val="center"/>
            <w:hideMark/>
          </w:tcPr>
          <w:p w14:paraId="616E814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25</w:t>
            </w:r>
          </w:p>
        </w:tc>
        <w:tc>
          <w:tcPr>
            <w:tcW w:w="1276" w:type="dxa"/>
            <w:tcBorders>
              <w:top w:val="nil"/>
              <w:left w:val="nil"/>
              <w:bottom w:val="single" w:sz="4" w:space="0" w:color="auto"/>
              <w:right w:val="nil"/>
            </w:tcBorders>
            <w:noWrap/>
            <w:vAlign w:val="center"/>
            <w:hideMark/>
          </w:tcPr>
          <w:p w14:paraId="67625C4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18</w:t>
            </w:r>
          </w:p>
        </w:tc>
        <w:tc>
          <w:tcPr>
            <w:tcW w:w="1842" w:type="dxa"/>
            <w:tcBorders>
              <w:top w:val="nil"/>
              <w:left w:val="nil"/>
              <w:bottom w:val="single" w:sz="4" w:space="0" w:color="auto"/>
              <w:right w:val="nil"/>
            </w:tcBorders>
            <w:noWrap/>
            <w:vAlign w:val="center"/>
            <w:hideMark/>
          </w:tcPr>
          <w:p w14:paraId="437B07A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72</w:t>
            </w:r>
          </w:p>
        </w:tc>
        <w:tc>
          <w:tcPr>
            <w:tcW w:w="2410" w:type="dxa"/>
            <w:vMerge w:val="restart"/>
            <w:tcBorders>
              <w:top w:val="nil"/>
              <w:left w:val="nil"/>
              <w:bottom w:val="nil"/>
              <w:right w:val="single" w:sz="4" w:space="0" w:color="auto"/>
            </w:tcBorders>
            <w:vAlign w:val="center"/>
            <w:hideMark/>
          </w:tcPr>
          <w:p w14:paraId="61E269A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88</w:t>
            </w:r>
          </w:p>
        </w:tc>
      </w:tr>
      <w:tr w:rsidR="000E15B7" w:rsidRPr="00EC5748" w14:paraId="037E3C56" w14:textId="77777777" w:rsidTr="00EC5748">
        <w:trPr>
          <w:trHeight w:val="288"/>
        </w:trPr>
        <w:tc>
          <w:tcPr>
            <w:tcW w:w="1931" w:type="dxa"/>
            <w:vMerge/>
            <w:tcBorders>
              <w:top w:val="nil"/>
              <w:left w:val="single" w:sz="4" w:space="0" w:color="auto"/>
              <w:right w:val="nil"/>
            </w:tcBorders>
            <w:vAlign w:val="center"/>
            <w:hideMark/>
          </w:tcPr>
          <w:p w14:paraId="0129FD14" w14:textId="77777777" w:rsidR="000E15B7" w:rsidRPr="00EC5748" w:rsidRDefault="000E15B7" w:rsidP="00EC5748">
            <w:pPr>
              <w:rPr>
                <w:rFonts w:eastAsia="Times New Roman"/>
                <w:i/>
                <w:iCs/>
                <w:color w:val="000000"/>
                <w:lang w:eastAsia="fr-CA"/>
              </w:rPr>
            </w:pPr>
          </w:p>
        </w:tc>
        <w:tc>
          <w:tcPr>
            <w:tcW w:w="1188" w:type="dxa"/>
            <w:tcBorders>
              <w:top w:val="nil"/>
              <w:left w:val="nil"/>
              <w:bottom w:val="single" w:sz="4" w:space="0" w:color="auto"/>
              <w:right w:val="nil"/>
            </w:tcBorders>
            <w:vAlign w:val="center"/>
            <w:hideMark/>
          </w:tcPr>
          <w:p w14:paraId="42DE94E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276" w:type="dxa"/>
            <w:tcBorders>
              <w:top w:val="nil"/>
              <w:left w:val="nil"/>
              <w:bottom w:val="single" w:sz="4" w:space="0" w:color="auto"/>
              <w:right w:val="nil"/>
            </w:tcBorders>
            <w:noWrap/>
            <w:vAlign w:val="center"/>
            <w:hideMark/>
          </w:tcPr>
          <w:p w14:paraId="7004057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24</w:t>
            </w:r>
          </w:p>
        </w:tc>
        <w:tc>
          <w:tcPr>
            <w:tcW w:w="1276" w:type="dxa"/>
            <w:tcBorders>
              <w:top w:val="nil"/>
              <w:left w:val="nil"/>
              <w:bottom w:val="single" w:sz="4" w:space="0" w:color="auto"/>
              <w:right w:val="nil"/>
            </w:tcBorders>
            <w:noWrap/>
            <w:vAlign w:val="center"/>
            <w:hideMark/>
          </w:tcPr>
          <w:p w14:paraId="6552827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19</w:t>
            </w:r>
          </w:p>
        </w:tc>
        <w:tc>
          <w:tcPr>
            <w:tcW w:w="1842" w:type="dxa"/>
            <w:tcBorders>
              <w:top w:val="nil"/>
              <w:left w:val="nil"/>
              <w:bottom w:val="single" w:sz="4" w:space="0" w:color="auto"/>
              <w:right w:val="nil"/>
            </w:tcBorders>
            <w:noWrap/>
            <w:vAlign w:val="center"/>
            <w:hideMark/>
          </w:tcPr>
          <w:p w14:paraId="2964002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79,2</w:t>
            </w:r>
          </w:p>
        </w:tc>
        <w:tc>
          <w:tcPr>
            <w:tcW w:w="2410" w:type="dxa"/>
            <w:vMerge/>
            <w:tcBorders>
              <w:top w:val="nil"/>
              <w:left w:val="nil"/>
              <w:bottom w:val="nil"/>
              <w:right w:val="single" w:sz="4" w:space="0" w:color="auto"/>
            </w:tcBorders>
            <w:vAlign w:val="center"/>
            <w:hideMark/>
          </w:tcPr>
          <w:p w14:paraId="7C668160" w14:textId="77777777" w:rsidR="000E15B7" w:rsidRPr="00EC5748" w:rsidRDefault="000E15B7" w:rsidP="00EC5748">
            <w:pPr>
              <w:rPr>
                <w:rFonts w:eastAsia="Times New Roman"/>
                <w:color w:val="000000"/>
                <w:lang w:eastAsia="fr-CA"/>
              </w:rPr>
            </w:pPr>
          </w:p>
        </w:tc>
      </w:tr>
      <w:tr w:rsidR="000E15B7" w:rsidRPr="00EC5748" w14:paraId="2C62E540" w14:textId="77777777" w:rsidTr="00EC5748">
        <w:trPr>
          <w:trHeight w:val="288"/>
        </w:trPr>
        <w:tc>
          <w:tcPr>
            <w:tcW w:w="1931" w:type="dxa"/>
            <w:vMerge/>
            <w:tcBorders>
              <w:top w:val="nil"/>
              <w:left w:val="single" w:sz="4" w:space="0" w:color="auto"/>
              <w:right w:val="nil"/>
            </w:tcBorders>
            <w:vAlign w:val="center"/>
            <w:hideMark/>
          </w:tcPr>
          <w:p w14:paraId="1CDD577B" w14:textId="77777777" w:rsidR="000E15B7" w:rsidRPr="00EC5748" w:rsidRDefault="000E15B7" w:rsidP="00EC5748">
            <w:pPr>
              <w:rPr>
                <w:rFonts w:eastAsia="Times New Roman"/>
                <w:i/>
                <w:iCs/>
                <w:color w:val="000000"/>
                <w:lang w:eastAsia="fr-CA"/>
              </w:rPr>
            </w:pPr>
          </w:p>
        </w:tc>
        <w:tc>
          <w:tcPr>
            <w:tcW w:w="1188" w:type="dxa"/>
            <w:tcBorders>
              <w:top w:val="nil"/>
              <w:left w:val="nil"/>
              <w:bottom w:val="single" w:sz="4" w:space="0" w:color="auto"/>
              <w:right w:val="nil"/>
            </w:tcBorders>
            <w:vAlign w:val="center"/>
            <w:hideMark/>
          </w:tcPr>
          <w:p w14:paraId="7271D1E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276" w:type="dxa"/>
            <w:tcBorders>
              <w:top w:val="nil"/>
              <w:left w:val="nil"/>
              <w:bottom w:val="single" w:sz="4" w:space="0" w:color="auto"/>
              <w:right w:val="nil"/>
            </w:tcBorders>
            <w:noWrap/>
            <w:vAlign w:val="center"/>
            <w:hideMark/>
          </w:tcPr>
          <w:p w14:paraId="138EDBB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24</w:t>
            </w:r>
          </w:p>
        </w:tc>
        <w:tc>
          <w:tcPr>
            <w:tcW w:w="1276" w:type="dxa"/>
            <w:tcBorders>
              <w:top w:val="nil"/>
              <w:left w:val="nil"/>
              <w:bottom w:val="single" w:sz="4" w:space="0" w:color="auto"/>
              <w:right w:val="nil"/>
            </w:tcBorders>
            <w:noWrap/>
            <w:vAlign w:val="center"/>
            <w:hideMark/>
          </w:tcPr>
          <w:p w14:paraId="6A90EAD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20</w:t>
            </w:r>
          </w:p>
        </w:tc>
        <w:tc>
          <w:tcPr>
            <w:tcW w:w="1842" w:type="dxa"/>
            <w:tcBorders>
              <w:top w:val="nil"/>
              <w:left w:val="nil"/>
              <w:bottom w:val="single" w:sz="4" w:space="0" w:color="auto"/>
              <w:right w:val="nil"/>
            </w:tcBorders>
            <w:noWrap/>
            <w:vAlign w:val="center"/>
            <w:hideMark/>
          </w:tcPr>
          <w:p w14:paraId="548E9D7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83,3</w:t>
            </w:r>
          </w:p>
        </w:tc>
        <w:tc>
          <w:tcPr>
            <w:tcW w:w="2410" w:type="dxa"/>
            <w:vMerge/>
            <w:tcBorders>
              <w:top w:val="nil"/>
              <w:left w:val="nil"/>
              <w:bottom w:val="nil"/>
              <w:right w:val="single" w:sz="4" w:space="0" w:color="auto"/>
            </w:tcBorders>
            <w:vAlign w:val="center"/>
            <w:hideMark/>
          </w:tcPr>
          <w:p w14:paraId="7E3AAF45" w14:textId="77777777" w:rsidR="000E15B7" w:rsidRPr="00EC5748" w:rsidRDefault="000E15B7" w:rsidP="00EC5748">
            <w:pPr>
              <w:rPr>
                <w:rFonts w:eastAsia="Times New Roman"/>
                <w:color w:val="000000"/>
                <w:lang w:eastAsia="fr-CA"/>
              </w:rPr>
            </w:pPr>
          </w:p>
        </w:tc>
      </w:tr>
      <w:tr w:rsidR="000E15B7" w:rsidRPr="00EC5748" w14:paraId="00512851" w14:textId="77777777" w:rsidTr="00C62E60">
        <w:trPr>
          <w:trHeight w:val="288"/>
        </w:trPr>
        <w:tc>
          <w:tcPr>
            <w:tcW w:w="1931" w:type="dxa"/>
            <w:vMerge/>
            <w:tcBorders>
              <w:top w:val="nil"/>
              <w:left w:val="single" w:sz="4" w:space="0" w:color="auto"/>
              <w:right w:val="nil"/>
            </w:tcBorders>
            <w:vAlign w:val="center"/>
            <w:hideMark/>
          </w:tcPr>
          <w:p w14:paraId="69019367" w14:textId="77777777" w:rsidR="000E15B7" w:rsidRPr="00EC5748" w:rsidRDefault="000E15B7" w:rsidP="00EC5748">
            <w:pPr>
              <w:rPr>
                <w:rFonts w:eastAsia="Times New Roman"/>
                <w:i/>
                <w:iCs/>
                <w:color w:val="000000"/>
                <w:lang w:eastAsia="fr-CA"/>
              </w:rPr>
            </w:pPr>
          </w:p>
        </w:tc>
        <w:tc>
          <w:tcPr>
            <w:tcW w:w="1188" w:type="dxa"/>
            <w:tcBorders>
              <w:top w:val="nil"/>
              <w:left w:val="nil"/>
              <w:bottom w:val="single" w:sz="4" w:space="0" w:color="auto"/>
              <w:right w:val="nil"/>
            </w:tcBorders>
            <w:vAlign w:val="center"/>
            <w:hideMark/>
          </w:tcPr>
          <w:p w14:paraId="7C80B75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276" w:type="dxa"/>
            <w:tcBorders>
              <w:top w:val="nil"/>
              <w:left w:val="nil"/>
              <w:bottom w:val="single" w:sz="4" w:space="0" w:color="auto"/>
              <w:right w:val="nil"/>
            </w:tcBorders>
            <w:noWrap/>
            <w:vAlign w:val="center"/>
            <w:hideMark/>
          </w:tcPr>
          <w:p w14:paraId="7107B95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25</w:t>
            </w:r>
          </w:p>
        </w:tc>
        <w:tc>
          <w:tcPr>
            <w:tcW w:w="1276" w:type="dxa"/>
            <w:tcBorders>
              <w:top w:val="nil"/>
              <w:left w:val="nil"/>
              <w:bottom w:val="single" w:sz="4" w:space="0" w:color="auto"/>
              <w:right w:val="nil"/>
            </w:tcBorders>
            <w:noWrap/>
            <w:vAlign w:val="center"/>
            <w:hideMark/>
          </w:tcPr>
          <w:p w14:paraId="505EF66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12</w:t>
            </w:r>
          </w:p>
        </w:tc>
        <w:tc>
          <w:tcPr>
            <w:tcW w:w="1842" w:type="dxa"/>
            <w:tcBorders>
              <w:top w:val="nil"/>
              <w:left w:val="nil"/>
              <w:bottom w:val="single" w:sz="4" w:space="0" w:color="auto"/>
              <w:right w:val="nil"/>
            </w:tcBorders>
            <w:noWrap/>
            <w:vAlign w:val="center"/>
            <w:hideMark/>
          </w:tcPr>
          <w:p w14:paraId="661EE01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48</w:t>
            </w:r>
          </w:p>
        </w:tc>
        <w:tc>
          <w:tcPr>
            <w:tcW w:w="2410" w:type="dxa"/>
            <w:vMerge/>
            <w:tcBorders>
              <w:top w:val="nil"/>
              <w:left w:val="nil"/>
              <w:bottom w:val="single" w:sz="4" w:space="0" w:color="auto"/>
              <w:right w:val="single" w:sz="4" w:space="0" w:color="auto"/>
            </w:tcBorders>
            <w:vAlign w:val="center"/>
            <w:hideMark/>
          </w:tcPr>
          <w:p w14:paraId="4987F865" w14:textId="77777777" w:rsidR="000E15B7" w:rsidRPr="00EC5748" w:rsidRDefault="000E15B7" w:rsidP="00EC5748">
            <w:pPr>
              <w:rPr>
                <w:rFonts w:eastAsia="Times New Roman"/>
                <w:color w:val="000000"/>
                <w:lang w:eastAsia="fr-CA"/>
              </w:rPr>
            </w:pPr>
          </w:p>
        </w:tc>
      </w:tr>
      <w:tr w:rsidR="000E15B7" w:rsidRPr="00EC5748" w14:paraId="52BE6ED9" w14:textId="77777777" w:rsidTr="00422E71">
        <w:trPr>
          <w:trHeight w:val="288"/>
        </w:trPr>
        <w:tc>
          <w:tcPr>
            <w:tcW w:w="1931" w:type="dxa"/>
            <w:vMerge/>
            <w:tcBorders>
              <w:top w:val="nil"/>
              <w:left w:val="single" w:sz="4" w:space="0" w:color="auto"/>
              <w:bottom w:val="single" w:sz="4" w:space="0" w:color="auto"/>
              <w:right w:val="nil"/>
            </w:tcBorders>
            <w:vAlign w:val="center"/>
            <w:hideMark/>
          </w:tcPr>
          <w:p w14:paraId="448454F0" w14:textId="77777777" w:rsidR="000E15B7" w:rsidRPr="00EC5748" w:rsidRDefault="000E15B7" w:rsidP="00EC5748">
            <w:pPr>
              <w:rPr>
                <w:rFonts w:eastAsia="Times New Roman"/>
                <w:i/>
                <w:iCs/>
                <w:color w:val="000000"/>
                <w:lang w:eastAsia="fr-CA"/>
              </w:rPr>
            </w:pPr>
          </w:p>
        </w:tc>
        <w:tc>
          <w:tcPr>
            <w:tcW w:w="1188" w:type="dxa"/>
            <w:tcBorders>
              <w:top w:val="nil"/>
              <w:left w:val="nil"/>
              <w:bottom w:val="single" w:sz="4" w:space="0" w:color="auto"/>
              <w:right w:val="nil"/>
            </w:tcBorders>
            <w:vAlign w:val="center"/>
            <w:hideMark/>
          </w:tcPr>
          <w:p w14:paraId="23BB46C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276" w:type="dxa"/>
            <w:tcBorders>
              <w:top w:val="nil"/>
              <w:left w:val="nil"/>
              <w:bottom w:val="single" w:sz="4" w:space="0" w:color="auto"/>
              <w:right w:val="nil"/>
            </w:tcBorders>
            <w:noWrap/>
            <w:vAlign w:val="center"/>
            <w:hideMark/>
          </w:tcPr>
          <w:p w14:paraId="6297A62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24</w:t>
            </w:r>
          </w:p>
        </w:tc>
        <w:tc>
          <w:tcPr>
            <w:tcW w:w="1276" w:type="dxa"/>
            <w:tcBorders>
              <w:top w:val="nil"/>
              <w:left w:val="nil"/>
              <w:bottom w:val="single" w:sz="4" w:space="0" w:color="auto"/>
              <w:right w:val="nil"/>
            </w:tcBorders>
            <w:noWrap/>
            <w:vAlign w:val="center"/>
            <w:hideMark/>
          </w:tcPr>
          <w:p w14:paraId="6ECECA5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12</w:t>
            </w:r>
          </w:p>
        </w:tc>
        <w:tc>
          <w:tcPr>
            <w:tcW w:w="1842" w:type="dxa"/>
            <w:tcBorders>
              <w:top w:val="nil"/>
              <w:left w:val="nil"/>
              <w:bottom w:val="single" w:sz="4" w:space="0" w:color="auto"/>
              <w:right w:val="nil"/>
            </w:tcBorders>
            <w:noWrap/>
            <w:vAlign w:val="center"/>
            <w:hideMark/>
          </w:tcPr>
          <w:p w14:paraId="0E34413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50</w:t>
            </w:r>
          </w:p>
        </w:tc>
        <w:tc>
          <w:tcPr>
            <w:tcW w:w="2410" w:type="dxa"/>
            <w:tcBorders>
              <w:top w:val="single" w:sz="4" w:space="0" w:color="auto"/>
              <w:left w:val="nil"/>
              <w:bottom w:val="single" w:sz="4" w:space="0" w:color="auto"/>
              <w:right w:val="single" w:sz="4" w:space="0" w:color="auto"/>
            </w:tcBorders>
            <w:vAlign w:val="center"/>
            <w:hideMark/>
          </w:tcPr>
          <w:p w14:paraId="05B6D963" w14:textId="5D3772E8" w:rsidR="000E15B7" w:rsidRPr="00EC5748" w:rsidRDefault="00862C22" w:rsidP="00EC5748">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6A9BB9D5" w14:textId="77777777" w:rsidTr="00EC5748">
        <w:trPr>
          <w:trHeight w:val="288"/>
        </w:trPr>
        <w:tc>
          <w:tcPr>
            <w:tcW w:w="1931" w:type="dxa"/>
            <w:vMerge w:val="restart"/>
            <w:tcBorders>
              <w:top w:val="single" w:sz="4" w:space="0" w:color="auto"/>
              <w:left w:val="single" w:sz="4" w:space="0" w:color="auto"/>
              <w:bottom w:val="single" w:sz="4" w:space="0" w:color="000000"/>
              <w:right w:val="nil"/>
            </w:tcBorders>
            <w:vAlign w:val="center"/>
            <w:hideMark/>
          </w:tcPr>
          <w:p w14:paraId="6EAF6A66" w14:textId="77777777" w:rsidR="000E15B7" w:rsidRPr="00EC5748" w:rsidRDefault="000E15B7" w:rsidP="00EC5748">
            <w:pPr>
              <w:jc w:val="center"/>
              <w:rPr>
                <w:rFonts w:eastAsia="Times New Roman"/>
                <w:i/>
                <w:iCs/>
                <w:color w:val="000000"/>
                <w:lang w:eastAsia="fr-CA"/>
              </w:rPr>
            </w:pPr>
            <w:proofErr w:type="spellStart"/>
            <w:r w:rsidRPr="00EC5748">
              <w:rPr>
                <w:rFonts w:eastAsia="Times New Roman"/>
                <w:i/>
                <w:iCs/>
                <w:color w:val="000000"/>
                <w:lang w:eastAsia="fr-CA"/>
              </w:rPr>
              <w:t>Colletotrichum</w:t>
            </w:r>
            <w:proofErr w:type="spellEnd"/>
            <w:r w:rsidRPr="00EC5748">
              <w:rPr>
                <w:rFonts w:eastAsia="Times New Roman"/>
                <w:i/>
                <w:iCs/>
                <w:color w:val="000000"/>
                <w:lang w:eastAsia="fr-CA"/>
              </w:rPr>
              <w:t xml:space="preserve"> </w:t>
            </w:r>
            <w:proofErr w:type="spellStart"/>
            <w:r w:rsidRPr="00422E71">
              <w:rPr>
                <w:rFonts w:eastAsia="Times New Roman"/>
                <w:color w:val="000000"/>
                <w:lang w:eastAsia="fr-CA"/>
              </w:rPr>
              <w:t>spp</w:t>
            </w:r>
            <w:proofErr w:type="spellEnd"/>
            <w:r w:rsidRPr="00422E71">
              <w:rPr>
                <w:rFonts w:eastAsia="Times New Roman"/>
                <w:color w:val="000000"/>
                <w:lang w:eastAsia="fr-CA"/>
              </w:rPr>
              <w:t>.</w:t>
            </w:r>
          </w:p>
        </w:tc>
        <w:tc>
          <w:tcPr>
            <w:tcW w:w="1188" w:type="dxa"/>
            <w:tcBorders>
              <w:top w:val="nil"/>
              <w:left w:val="nil"/>
              <w:bottom w:val="single" w:sz="4" w:space="0" w:color="auto"/>
              <w:right w:val="nil"/>
            </w:tcBorders>
            <w:vAlign w:val="center"/>
            <w:hideMark/>
          </w:tcPr>
          <w:p w14:paraId="5A91B6A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276" w:type="dxa"/>
            <w:tcBorders>
              <w:top w:val="nil"/>
              <w:left w:val="nil"/>
              <w:bottom w:val="single" w:sz="4" w:space="0" w:color="auto"/>
              <w:right w:val="nil"/>
            </w:tcBorders>
            <w:vAlign w:val="center"/>
            <w:hideMark/>
          </w:tcPr>
          <w:p w14:paraId="2318F83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109</w:t>
            </w:r>
          </w:p>
        </w:tc>
        <w:tc>
          <w:tcPr>
            <w:tcW w:w="1276" w:type="dxa"/>
            <w:tcBorders>
              <w:top w:val="nil"/>
              <w:left w:val="nil"/>
              <w:bottom w:val="single" w:sz="4" w:space="0" w:color="auto"/>
              <w:right w:val="nil"/>
            </w:tcBorders>
            <w:vAlign w:val="center"/>
            <w:hideMark/>
          </w:tcPr>
          <w:p w14:paraId="0FF71DC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109</w:t>
            </w:r>
          </w:p>
        </w:tc>
        <w:tc>
          <w:tcPr>
            <w:tcW w:w="1842" w:type="dxa"/>
            <w:tcBorders>
              <w:top w:val="nil"/>
              <w:left w:val="nil"/>
              <w:bottom w:val="single" w:sz="4" w:space="0" w:color="auto"/>
              <w:right w:val="nil"/>
            </w:tcBorders>
            <w:vAlign w:val="center"/>
            <w:hideMark/>
          </w:tcPr>
          <w:p w14:paraId="163D9C2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2410" w:type="dxa"/>
            <w:vMerge w:val="restart"/>
            <w:tcBorders>
              <w:top w:val="nil"/>
              <w:left w:val="nil"/>
              <w:bottom w:val="nil"/>
              <w:right w:val="single" w:sz="4" w:space="0" w:color="auto"/>
            </w:tcBorders>
            <w:vAlign w:val="center"/>
            <w:hideMark/>
          </w:tcPr>
          <w:p w14:paraId="549B731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16,5</w:t>
            </w:r>
          </w:p>
        </w:tc>
      </w:tr>
      <w:tr w:rsidR="000E15B7" w:rsidRPr="00EC5748" w14:paraId="2D644ADC" w14:textId="77777777" w:rsidTr="00C62E60">
        <w:trPr>
          <w:trHeight w:val="288"/>
        </w:trPr>
        <w:tc>
          <w:tcPr>
            <w:tcW w:w="1931" w:type="dxa"/>
            <w:vMerge/>
            <w:tcBorders>
              <w:top w:val="single" w:sz="4" w:space="0" w:color="000000"/>
              <w:left w:val="single" w:sz="4" w:space="0" w:color="auto"/>
              <w:bottom w:val="single" w:sz="4" w:space="0" w:color="000000"/>
              <w:right w:val="nil"/>
            </w:tcBorders>
            <w:vAlign w:val="center"/>
            <w:hideMark/>
          </w:tcPr>
          <w:p w14:paraId="73351736" w14:textId="77777777" w:rsidR="000E15B7" w:rsidRPr="00EC5748" w:rsidRDefault="000E15B7" w:rsidP="00EC5748">
            <w:pPr>
              <w:rPr>
                <w:rFonts w:eastAsia="Times New Roman"/>
                <w:i/>
                <w:iCs/>
                <w:color w:val="000000"/>
                <w:lang w:eastAsia="fr-CA"/>
              </w:rPr>
            </w:pPr>
          </w:p>
        </w:tc>
        <w:tc>
          <w:tcPr>
            <w:tcW w:w="1188" w:type="dxa"/>
            <w:tcBorders>
              <w:top w:val="nil"/>
              <w:left w:val="nil"/>
              <w:bottom w:val="single" w:sz="4" w:space="0" w:color="auto"/>
              <w:right w:val="nil"/>
            </w:tcBorders>
            <w:vAlign w:val="center"/>
            <w:hideMark/>
          </w:tcPr>
          <w:p w14:paraId="56C875F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276" w:type="dxa"/>
            <w:tcBorders>
              <w:top w:val="nil"/>
              <w:left w:val="nil"/>
              <w:bottom w:val="single" w:sz="4" w:space="0" w:color="auto"/>
              <w:right w:val="nil"/>
            </w:tcBorders>
            <w:vAlign w:val="center"/>
            <w:hideMark/>
          </w:tcPr>
          <w:p w14:paraId="63626E9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109</w:t>
            </w:r>
          </w:p>
        </w:tc>
        <w:tc>
          <w:tcPr>
            <w:tcW w:w="1276" w:type="dxa"/>
            <w:tcBorders>
              <w:top w:val="nil"/>
              <w:left w:val="nil"/>
              <w:bottom w:val="single" w:sz="4" w:space="0" w:color="auto"/>
              <w:right w:val="nil"/>
            </w:tcBorders>
            <w:vAlign w:val="center"/>
            <w:hideMark/>
          </w:tcPr>
          <w:p w14:paraId="5239FD0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18</w:t>
            </w:r>
          </w:p>
        </w:tc>
        <w:tc>
          <w:tcPr>
            <w:tcW w:w="1842" w:type="dxa"/>
            <w:tcBorders>
              <w:top w:val="nil"/>
              <w:left w:val="nil"/>
              <w:bottom w:val="single" w:sz="4" w:space="0" w:color="auto"/>
              <w:right w:val="nil"/>
            </w:tcBorders>
            <w:vAlign w:val="center"/>
            <w:hideMark/>
          </w:tcPr>
          <w:p w14:paraId="15AD1C1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16,5</w:t>
            </w:r>
          </w:p>
        </w:tc>
        <w:tc>
          <w:tcPr>
            <w:tcW w:w="2410" w:type="dxa"/>
            <w:vMerge/>
            <w:tcBorders>
              <w:top w:val="nil"/>
              <w:left w:val="nil"/>
              <w:bottom w:val="single" w:sz="4" w:space="0" w:color="auto"/>
              <w:right w:val="single" w:sz="4" w:space="0" w:color="auto"/>
            </w:tcBorders>
            <w:vAlign w:val="center"/>
            <w:hideMark/>
          </w:tcPr>
          <w:p w14:paraId="2D1C2FD8" w14:textId="77777777" w:rsidR="000E15B7" w:rsidRPr="00EC5748" w:rsidRDefault="000E15B7" w:rsidP="00EC5748">
            <w:pPr>
              <w:rPr>
                <w:rFonts w:eastAsia="Times New Roman"/>
                <w:color w:val="000000"/>
                <w:lang w:eastAsia="fr-CA"/>
              </w:rPr>
            </w:pPr>
          </w:p>
        </w:tc>
      </w:tr>
      <w:tr w:rsidR="000E15B7" w:rsidRPr="00EC5748" w14:paraId="192A85B8" w14:textId="77777777" w:rsidTr="00422E71">
        <w:trPr>
          <w:trHeight w:val="288"/>
        </w:trPr>
        <w:tc>
          <w:tcPr>
            <w:tcW w:w="1931" w:type="dxa"/>
            <w:vMerge/>
            <w:tcBorders>
              <w:top w:val="single" w:sz="4" w:space="0" w:color="000000"/>
              <w:left w:val="single" w:sz="4" w:space="0" w:color="auto"/>
              <w:bottom w:val="single" w:sz="4" w:space="0" w:color="auto"/>
              <w:right w:val="nil"/>
            </w:tcBorders>
            <w:vAlign w:val="center"/>
            <w:hideMark/>
          </w:tcPr>
          <w:p w14:paraId="7B98A825" w14:textId="77777777" w:rsidR="000E15B7" w:rsidRPr="00EC5748" w:rsidRDefault="000E15B7" w:rsidP="00EC5748">
            <w:pPr>
              <w:rPr>
                <w:rFonts w:eastAsia="Times New Roman"/>
                <w:i/>
                <w:iCs/>
                <w:color w:val="000000"/>
                <w:lang w:eastAsia="fr-CA"/>
              </w:rPr>
            </w:pPr>
          </w:p>
        </w:tc>
        <w:tc>
          <w:tcPr>
            <w:tcW w:w="1188" w:type="dxa"/>
            <w:tcBorders>
              <w:top w:val="nil"/>
              <w:left w:val="nil"/>
              <w:bottom w:val="single" w:sz="4" w:space="0" w:color="auto"/>
              <w:right w:val="nil"/>
            </w:tcBorders>
            <w:vAlign w:val="center"/>
            <w:hideMark/>
          </w:tcPr>
          <w:p w14:paraId="2A77858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276" w:type="dxa"/>
            <w:tcBorders>
              <w:top w:val="nil"/>
              <w:left w:val="nil"/>
              <w:bottom w:val="single" w:sz="4" w:space="0" w:color="auto"/>
              <w:right w:val="nil"/>
            </w:tcBorders>
            <w:vAlign w:val="center"/>
            <w:hideMark/>
          </w:tcPr>
          <w:p w14:paraId="464B8B0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109</w:t>
            </w:r>
          </w:p>
        </w:tc>
        <w:tc>
          <w:tcPr>
            <w:tcW w:w="1276" w:type="dxa"/>
            <w:tcBorders>
              <w:top w:val="nil"/>
              <w:left w:val="nil"/>
              <w:bottom w:val="single" w:sz="4" w:space="0" w:color="auto"/>
              <w:right w:val="nil"/>
            </w:tcBorders>
            <w:vAlign w:val="center"/>
            <w:hideMark/>
          </w:tcPr>
          <w:p w14:paraId="5B2066D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18</w:t>
            </w:r>
          </w:p>
        </w:tc>
        <w:tc>
          <w:tcPr>
            <w:tcW w:w="1842" w:type="dxa"/>
            <w:tcBorders>
              <w:top w:val="nil"/>
              <w:left w:val="nil"/>
              <w:bottom w:val="single" w:sz="4" w:space="0" w:color="auto"/>
              <w:right w:val="nil"/>
            </w:tcBorders>
            <w:vAlign w:val="center"/>
            <w:hideMark/>
          </w:tcPr>
          <w:p w14:paraId="0516899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16,5</w:t>
            </w:r>
          </w:p>
        </w:tc>
        <w:tc>
          <w:tcPr>
            <w:tcW w:w="2410" w:type="dxa"/>
            <w:tcBorders>
              <w:top w:val="single" w:sz="4" w:space="0" w:color="auto"/>
              <w:left w:val="nil"/>
              <w:bottom w:val="single" w:sz="4" w:space="0" w:color="auto"/>
              <w:right w:val="single" w:sz="4" w:space="0" w:color="auto"/>
            </w:tcBorders>
            <w:vAlign w:val="center"/>
            <w:hideMark/>
          </w:tcPr>
          <w:p w14:paraId="4CA9623C" w14:textId="721ED1C5" w:rsidR="000E15B7" w:rsidRPr="00EC5748" w:rsidRDefault="00862C22" w:rsidP="00EC5748">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bl>
    <w:p w14:paraId="0F58A93B" w14:textId="77777777" w:rsidR="000E15B7" w:rsidRPr="00EC5748" w:rsidRDefault="000E15B7" w:rsidP="000E15B7">
      <w:pPr>
        <w:jc w:val="both"/>
        <w:rPr>
          <w:b/>
          <w:bCs/>
          <w:color w:val="709FDB" w:themeColor="text2" w:themeTint="80"/>
        </w:rPr>
      </w:pPr>
    </w:p>
    <w:p w14:paraId="5760F78D" w14:textId="77777777" w:rsidR="000E15B7" w:rsidRPr="00EC5748" w:rsidRDefault="000E15B7" w:rsidP="000E15B7">
      <w:pPr>
        <w:jc w:val="both"/>
        <w:rPr>
          <w:b/>
          <w:bCs/>
          <w:color w:val="709FDB" w:themeColor="text2" w:themeTint="80"/>
        </w:rPr>
      </w:pPr>
      <w:r w:rsidRPr="00EC5748">
        <w:rPr>
          <w:b/>
          <w:bCs/>
          <w:color w:val="709FDB" w:themeColor="text2" w:themeTint="80"/>
        </w:rPr>
        <w:t>- Fraisier -</w:t>
      </w:r>
    </w:p>
    <w:tbl>
      <w:tblPr>
        <w:tblW w:w="9923" w:type="dxa"/>
        <w:tblInd w:w="-572" w:type="dxa"/>
        <w:tblCellMar>
          <w:left w:w="70" w:type="dxa"/>
          <w:right w:w="70" w:type="dxa"/>
        </w:tblCellMar>
        <w:tblLook w:val="04A0" w:firstRow="1" w:lastRow="0" w:firstColumn="1" w:lastColumn="0" w:noHBand="0" w:noVBand="1"/>
      </w:tblPr>
      <w:tblGrid>
        <w:gridCol w:w="1862"/>
        <w:gridCol w:w="1174"/>
        <w:gridCol w:w="1440"/>
        <w:gridCol w:w="1235"/>
        <w:gridCol w:w="1986"/>
        <w:gridCol w:w="2226"/>
      </w:tblGrid>
      <w:tr w:rsidR="000E15B7" w:rsidRPr="00EC5748" w14:paraId="23444915" w14:textId="77777777" w:rsidTr="00EC5748">
        <w:trPr>
          <w:trHeight w:val="1152"/>
        </w:trPr>
        <w:tc>
          <w:tcPr>
            <w:tcW w:w="1878"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3E05C220" w14:textId="77777777" w:rsidR="000E15B7" w:rsidRPr="00EC5748" w:rsidRDefault="000E15B7" w:rsidP="00EC5748">
            <w:pPr>
              <w:ind w:left="-67"/>
              <w:jc w:val="center"/>
              <w:rPr>
                <w:rFonts w:eastAsia="Times New Roman"/>
                <w:b/>
                <w:bCs/>
                <w:lang w:eastAsia="fr-CA"/>
              </w:rPr>
            </w:pPr>
            <w:r w:rsidRPr="00EC5748">
              <w:rPr>
                <w:rFonts w:eastAsia="Times New Roman"/>
                <w:b/>
                <w:bCs/>
                <w:lang w:eastAsia="fr-CA"/>
              </w:rPr>
              <w:t>Champignon</w:t>
            </w:r>
          </w:p>
        </w:tc>
        <w:tc>
          <w:tcPr>
            <w:tcW w:w="1100"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7DF520A9" w14:textId="77777777" w:rsidR="000E15B7" w:rsidRPr="00EC5748" w:rsidRDefault="000E15B7" w:rsidP="00EC5748">
            <w:pPr>
              <w:ind w:left="-67"/>
              <w:jc w:val="center"/>
              <w:rPr>
                <w:rFonts w:eastAsia="Times New Roman"/>
                <w:b/>
                <w:bCs/>
                <w:lang w:eastAsia="fr-CA"/>
              </w:rPr>
            </w:pPr>
            <w:r w:rsidRPr="00EC5748">
              <w:rPr>
                <w:rFonts w:eastAsia="Times New Roman"/>
                <w:b/>
                <w:bCs/>
                <w:lang w:eastAsia="fr-CA"/>
              </w:rPr>
              <w:t>Groupe(s) de fongicides FRAC</w:t>
            </w:r>
          </w:p>
        </w:tc>
        <w:tc>
          <w:tcPr>
            <w:tcW w:w="1460"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3FF2E7D5" w14:textId="77777777" w:rsidR="000E15B7" w:rsidRPr="00EC5748" w:rsidRDefault="000E15B7" w:rsidP="00EC5748">
            <w:pPr>
              <w:ind w:left="-67"/>
              <w:jc w:val="center"/>
              <w:rPr>
                <w:rFonts w:eastAsia="Times New Roman"/>
                <w:b/>
                <w:bCs/>
                <w:lang w:eastAsia="fr-CA"/>
              </w:rPr>
            </w:pPr>
            <w:r w:rsidRPr="00EC5748">
              <w:rPr>
                <w:rFonts w:eastAsia="Times New Roman"/>
                <w:b/>
                <w:bCs/>
                <w:lang w:eastAsia="fr-CA"/>
              </w:rPr>
              <w:t>Nombre de souches testées</w:t>
            </w:r>
          </w:p>
        </w:tc>
        <w:tc>
          <w:tcPr>
            <w:tcW w:w="1200"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64B4BAB5" w14:textId="77777777" w:rsidR="000E15B7" w:rsidRPr="00EC5748" w:rsidRDefault="000E15B7" w:rsidP="00EC5748">
            <w:pPr>
              <w:ind w:left="-67"/>
              <w:jc w:val="center"/>
              <w:rPr>
                <w:rFonts w:eastAsia="Times New Roman"/>
                <w:b/>
                <w:bCs/>
                <w:lang w:eastAsia="fr-CA"/>
              </w:rPr>
            </w:pPr>
            <w:r w:rsidRPr="00EC5748">
              <w:rPr>
                <w:rFonts w:eastAsia="Times New Roman"/>
                <w:b/>
                <w:bCs/>
                <w:lang w:eastAsia="fr-CA"/>
              </w:rPr>
              <w:t>Nombre de souches résistantes</w:t>
            </w:r>
          </w:p>
        </w:tc>
        <w:tc>
          <w:tcPr>
            <w:tcW w:w="2017"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046B93EA" w14:textId="77777777" w:rsidR="000E15B7" w:rsidRPr="00EC5748" w:rsidRDefault="000E15B7" w:rsidP="00EC5748">
            <w:pPr>
              <w:ind w:left="-67"/>
              <w:jc w:val="center"/>
              <w:rPr>
                <w:rFonts w:eastAsia="Times New Roman"/>
                <w:b/>
                <w:bCs/>
                <w:lang w:eastAsia="fr-CA"/>
              </w:rPr>
            </w:pPr>
            <w:r w:rsidRPr="00EC5748">
              <w:rPr>
                <w:rFonts w:eastAsia="Times New Roman"/>
                <w:b/>
                <w:bCs/>
                <w:lang w:eastAsia="fr-CA"/>
              </w:rPr>
              <w:t>% des souches résistantes (groupe fongicide)</w:t>
            </w:r>
          </w:p>
        </w:tc>
        <w:tc>
          <w:tcPr>
            <w:tcW w:w="2268"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2E162989" w14:textId="77777777" w:rsidR="000E15B7" w:rsidRPr="00EC5748" w:rsidRDefault="000E15B7" w:rsidP="00EC5748">
            <w:pPr>
              <w:ind w:left="-67"/>
              <w:jc w:val="center"/>
              <w:rPr>
                <w:rFonts w:eastAsia="Times New Roman"/>
                <w:b/>
                <w:bCs/>
                <w:lang w:eastAsia="fr-CA"/>
              </w:rPr>
            </w:pPr>
            <w:r w:rsidRPr="00EC5748">
              <w:rPr>
                <w:rFonts w:eastAsia="Times New Roman"/>
                <w:b/>
                <w:bCs/>
                <w:lang w:eastAsia="fr-CA"/>
              </w:rPr>
              <w:t xml:space="preserve">% des souches résistantes à au moins un groupe de fongicide* </w:t>
            </w:r>
          </w:p>
        </w:tc>
      </w:tr>
      <w:tr w:rsidR="000E15B7" w:rsidRPr="00EC5748" w14:paraId="475C4689" w14:textId="77777777" w:rsidTr="00EC5748">
        <w:trPr>
          <w:trHeight w:val="288"/>
        </w:trPr>
        <w:tc>
          <w:tcPr>
            <w:tcW w:w="1878" w:type="dxa"/>
            <w:vMerge w:val="restart"/>
            <w:tcBorders>
              <w:top w:val="nil"/>
              <w:left w:val="single" w:sz="4" w:space="0" w:color="auto"/>
              <w:bottom w:val="single" w:sz="4" w:space="0" w:color="000000"/>
              <w:right w:val="nil"/>
            </w:tcBorders>
            <w:vAlign w:val="center"/>
            <w:hideMark/>
          </w:tcPr>
          <w:p w14:paraId="0DB47C14" w14:textId="77777777" w:rsidR="000E15B7" w:rsidRPr="00EC5748" w:rsidRDefault="000E15B7" w:rsidP="00EC5748">
            <w:pPr>
              <w:ind w:left="-67"/>
              <w:jc w:val="center"/>
              <w:rPr>
                <w:rFonts w:eastAsia="Times New Roman"/>
                <w:i/>
                <w:iCs/>
                <w:color w:val="000000"/>
                <w:lang w:eastAsia="fr-CA"/>
              </w:rPr>
            </w:pPr>
            <w:r w:rsidRPr="00EC5748">
              <w:rPr>
                <w:rFonts w:eastAsia="Times New Roman"/>
                <w:i/>
                <w:iCs/>
                <w:color w:val="000000"/>
                <w:lang w:eastAsia="fr-CA"/>
              </w:rPr>
              <w:t>Botrytis cinerea</w:t>
            </w:r>
          </w:p>
        </w:tc>
        <w:tc>
          <w:tcPr>
            <w:tcW w:w="1100" w:type="dxa"/>
            <w:tcBorders>
              <w:top w:val="nil"/>
              <w:left w:val="nil"/>
              <w:bottom w:val="single" w:sz="4" w:space="0" w:color="auto"/>
              <w:right w:val="nil"/>
            </w:tcBorders>
            <w:vAlign w:val="center"/>
            <w:hideMark/>
          </w:tcPr>
          <w:p w14:paraId="6008CFC0"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2</w:t>
            </w:r>
          </w:p>
        </w:tc>
        <w:tc>
          <w:tcPr>
            <w:tcW w:w="1460" w:type="dxa"/>
            <w:tcBorders>
              <w:top w:val="nil"/>
              <w:left w:val="nil"/>
              <w:bottom w:val="single" w:sz="4" w:space="0" w:color="auto"/>
              <w:right w:val="nil"/>
            </w:tcBorders>
            <w:vAlign w:val="center"/>
            <w:hideMark/>
          </w:tcPr>
          <w:p w14:paraId="4D16D356"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66</w:t>
            </w:r>
          </w:p>
        </w:tc>
        <w:tc>
          <w:tcPr>
            <w:tcW w:w="1200" w:type="dxa"/>
            <w:tcBorders>
              <w:top w:val="nil"/>
              <w:left w:val="nil"/>
              <w:bottom w:val="single" w:sz="4" w:space="0" w:color="auto"/>
              <w:right w:val="nil"/>
            </w:tcBorders>
            <w:vAlign w:val="center"/>
            <w:hideMark/>
          </w:tcPr>
          <w:p w14:paraId="7FB67B3B"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38</w:t>
            </w:r>
          </w:p>
        </w:tc>
        <w:tc>
          <w:tcPr>
            <w:tcW w:w="2017" w:type="dxa"/>
            <w:tcBorders>
              <w:top w:val="nil"/>
              <w:left w:val="nil"/>
              <w:bottom w:val="single" w:sz="4" w:space="0" w:color="auto"/>
              <w:right w:val="nil"/>
            </w:tcBorders>
            <w:vAlign w:val="center"/>
            <w:hideMark/>
          </w:tcPr>
          <w:p w14:paraId="16A28358"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57,6</w:t>
            </w:r>
          </w:p>
        </w:tc>
        <w:tc>
          <w:tcPr>
            <w:tcW w:w="2268" w:type="dxa"/>
            <w:vMerge w:val="restart"/>
            <w:tcBorders>
              <w:top w:val="nil"/>
              <w:left w:val="nil"/>
              <w:bottom w:val="nil"/>
              <w:right w:val="single" w:sz="4" w:space="0" w:color="auto"/>
            </w:tcBorders>
            <w:vAlign w:val="center"/>
            <w:hideMark/>
          </w:tcPr>
          <w:p w14:paraId="739572A6"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79,1</w:t>
            </w:r>
          </w:p>
        </w:tc>
      </w:tr>
      <w:tr w:rsidR="000E15B7" w:rsidRPr="00EC5748" w14:paraId="2E6DFB67" w14:textId="77777777" w:rsidTr="00EC5748">
        <w:trPr>
          <w:trHeight w:val="288"/>
        </w:trPr>
        <w:tc>
          <w:tcPr>
            <w:tcW w:w="1878" w:type="dxa"/>
            <w:vMerge/>
            <w:tcBorders>
              <w:top w:val="nil"/>
              <w:left w:val="single" w:sz="4" w:space="0" w:color="auto"/>
              <w:bottom w:val="single" w:sz="4" w:space="0" w:color="000000"/>
              <w:right w:val="nil"/>
            </w:tcBorders>
            <w:vAlign w:val="center"/>
            <w:hideMark/>
          </w:tcPr>
          <w:p w14:paraId="3A0AD5E7" w14:textId="77777777" w:rsidR="000E15B7" w:rsidRPr="00EC5748" w:rsidRDefault="000E15B7" w:rsidP="00EC5748">
            <w:pPr>
              <w:ind w:left="-67"/>
              <w:rPr>
                <w:rFonts w:eastAsia="Times New Roman"/>
                <w:i/>
                <w:iCs/>
                <w:color w:val="000000"/>
                <w:lang w:eastAsia="fr-CA"/>
              </w:rPr>
            </w:pPr>
          </w:p>
        </w:tc>
        <w:tc>
          <w:tcPr>
            <w:tcW w:w="1100" w:type="dxa"/>
            <w:tcBorders>
              <w:top w:val="nil"/>
              <w:left w:val="nil"/>
              <w:bottom w:val="single" w:sz="4" w:space="0" w:color="auto"/>
              <w:right w:val="nil"/>
            </w:tcBorders>
            <w:vAlign w:val="center"/>
            <w:hideMark/>
          </w:tcPr>
          <w:p w14:paraId="4CBCDA7B"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7</w:t>
            </w:r>
          </w:p>
        </w:tc>
        <w:tc>
          <w:tcPr>
            <w:tcW w:w="1460" w:type="dxa"/>
            <w:tcBorders>
              <w:top w:val="nil"/>
              <w:left w:val="nil"/>
              <w:bottom w:val="single" w:sz="4" w:space="0" w:color="auto"/>
              <w:right w:val="nil"/>
            </w:tcBorders>
            <w:vAlign w:val="center"/>
            <w:hideMark/>
          </w:tcPr>
          <w:p w14:paraId="0416792E"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67</w:t>
            </w:r>
          </w:p>
        </w:tc>
        <w:tc>
          <w:tcPr>
            <w:tcW w:w="1200" w:type="dxa"/>
            <w:tcBorders>
              <w:top w:val="nil"/>
              <w:left w:val="nil"/>
              <w:bottom w:val="single" w:sz="4" w:space="0" w:color="auto"/>
              <w:right w:val="nil"/>
            </w:tcBorders>
            <w:vAlign w:val="center"/>
            <w:hideMark/>
          </w:tcPr>
          <w:p w14:paraId="6D337AAD"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30</w:t>
            </w:r>
          </w:p>
        </w:tc>
        <w:tc>
          <w:tcPr>
            <w:tcW w:w="2017" w:type="dxa"/>
            <w:tcBorders>
              <w:top w:val="nil"/>
              <w:left w:val="nil"/>
              <w:bottom w:val="single" w:sz="4" w:space="0" w:color="auto"/>
              <w:right w:val="nil"/>
            </w:tcBorders>
            <w:vAlign w:val="center"/>
            <w:hideMark/>
          </w:tcPr>
          <w:p w14:paraId="6AF63C0D"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44,8</w:t>
            </w:r>
          </w:p>
        </w:tc>
        <w:tc>
          <w:tcPr>
            <w:tcW w:w="2268" w:type="dxa"/>
            <w:vMerge/>
            <w:tcBorders>
              <w:top w:val="nil"/>
              <w:left w:val="nil"/>
              <w:bottom w:val="nil"/>
              <w:right w:val="single" w:sz="4" w:space="0" w:color="auto"/>
            </w:tcBorders>
            <w:vAlign w:val="center"/>
            <w:hideMark/>
          </w:tcPr>
          <w:p w14:paraId="036AACA6" w14:textId="77777777" w:rsidR="000E15B7" w:rsidRPr="00EC5748" w:rsidRDefault="000E15B7" w:rsidP="00EC5748">
            <w:pPr>
              <w:ind w:left="-67"/>
              <w:rPr>
                <w:rFonts w:eastAsia="Times New Roman"/>
                <w:color w:val="000000"/>
                <w:lang w:eastAsia="fr-CA"/>
              </w:rPr>
            </w:pPr>
          </w:p>
        </w:tc>
      </w:tr>
      <w:tr w:rsidR="000E15B7" w:rsidRPr="00EC5748" w14:paraId="4B2E75BA" w14:textId="77777777" w:rsidTr="00EC5748">
        <w:trPr>
          <w:trHeight w:val="288"/>
        </w:trPr>
        <w:tc>
          <w:tcPr>
            <w:tcW w:w="1878" w:type="dxa"/>
            <w:vMerge/>
            <w:tcBorders>
              <w:top w:val="nil"/>
              <w:left w:val="single" w:sz="4" w:space="0" w:color="auto"/>
              <w:bottom w:val="single" w:sz="4" w:space="0" w:color="000000"/>
              <w:right w:val="nil"/>
            </w:tcBorders>
            <w:vAlign w:val="center"/>
            <w:hideMark/>
          </w:tcPr>
          <w:p w14:paraId="4C526081" w14:textId="77777777" w:rsidR="000E15B7" w:rsidRPr="00EC5748" w:rsidRDefault="000E15B7" w:rsidP="00EC5748">
            <w:pPr>
              <w:ind w:left="-67"/>
              <w:rPr>
                <w:rFonts w:eastAsia="Times New Roman"/>
                <w:i/>
                <w:iCs/>
                <w:color w:val="000000"/>
                <w:lang w:eastAsia="fr-CA"/>
              </w:rPr>
            </w:pPr>
          </w:p>
        </w:tc>
        <w:tc>
          <w:tcPr>
            <w:tcW w:w="1100" w:type="dxa"/>
            <w:tcBorders>
              <w:top w:val="nil"/>
              <w:left w:val="nil"/>
              <w:bottom w:val="single" w:sz="4" w:space="0" w:color="auto"/>
              <w:right w:val="nil"/>
            </w:tcBorders>
            <w:vAlign w:val="center"/>
            <w:hideMark/>
          </w:tcPr>
          <w:p w14:paraId="0F4D16A6"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11</w:t>
            </w:r>
          </w:p>
        </w:tc>
        <w:tc>
          <w:tcPr>
            <w:tcW w:w="1460" w:type="dxa"/>
            <w:tcBorders>
              <w:top w:val="nil"/>
              <w:left w:val="nil"/>
              <w:bottom w:val="single" w:sz="4" w:space="0" w:color="auto"/>
              <w:right w:val="nil"/>
            </w:tcBorders>
            <w:vAlign w:val="center"/>
            <w:hideMark/>
          </w:tcPr>
          <w:p w14:paraId="1B6A935B"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65</w:t>
            </w:r>
          </w:p>
        </w:tc>
        <w:tc>
          <w:tcPr>
            <w:tcW w:w="1200" w:type="dxa"/>
            <w:tcBorders>
              <w:top w:val="nil"/>
              <w:left w:val="nil"/>
              <w:bottom w:val="single" w:sz="4" w:space="0" w:color="auto"/>
              <w:right w:val="nil"/>
            </w:tcBorders>
            <w:vAlign w:val="center"/>
            <w:hideMark/>
          </w:tcPr>
          <w:p w14:paraId="62A3D49C"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50</w:t>
            </w:r>
          </w:p>
        </w:tc>
        <w:tc>
          <w:tcPr>
            <w:tcW w:w="2017" w:type="dxa"/>
            <w:tcBorders>
              <w:top w:val="nil"/>
              <w:left w:val="nil"/>
              <w:bottom w:val="single" w:sz="4" w:space="0" w:color="auto"/>
              <w:right w:val="nil"/>
            </w:tcBorders>
            <w:vAlign w:val="center"/>
            <w:hideMark/>
          </w:tcPr>
          <w:p w14:paraId="42205A9C"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76,9</w:t>
            </w:r>
          </w:p>
        </w:tc>
        <w:tc>
          <w:tcPr>
            <w:tcW w:w="2268" w:type="dxa"/>
            <w:vMerge/>
            <w:tcBorders>
              <w:top w:val="nil"/>
              <w:left w:val="nil"/>
              <w:bottom w:val="nil"/>
              <w:right w:val="single" w:sz="4" w:space="0" w:color="auto"/>
            </w:tcBorders>
            <w:vAlign w:val="center"/>
            <w:hideMark/>
          </w:tcPr>
          <w:p w14:paraId="6E40E8C3" w14:textId="77777777" w:rsidR="000E15B7" w:rsidRPr="00EC5748" w:rsidRDefault="000E15B7" w:rsidP="00EC5748">
            <w:pPr>
              <w:ind w:left="-67"/>
              <w:rPr>
                <w:rFonts w:eastAsia="Times New Roman"/>
                <w:color w:val="000000"/>
                <w:lang w:eastAsia="fr-CA"/>
              </w:rPr>
            </w:pPr>
          </w:p>
        </w:tc>
      </w:tr>
      <w:tr w:rsidR="000E15B7" w:rsidRPr="00EC5748" w14:paraId="60D708CA" w14:textId="77777777" w:rsidTr="00C62E60">
        <w:trPr>
          <w:trHeight w:val="288"/>
        </w:trPr>
        <w:tc>
          <w:tcPr>
            <w:tcW w:w="1878" w:type="dxa"/>
            <w:vMerge/>
            <w:tcBorders>
              <w:top w:val="nil"/>
              <w:left w:val="single" w:sz="4" w:space="0" w:color="auto"/>
              <w:bottom w:val="single" w:sz="4" w:space="0" w:color="000000"/>
              <w:right w:val="nil"/>
            </w:tcBorders>
            <w:vAlign w:val="center"/>
            <w:hideMark/>
          </w:tcPr>
          <w:p w14:paraId="50674832" w14:textId="77777777" w:rsidR="000E15B7" w:rsidRPr="00EC5748" w:rsidRDefault="000E15B7" w:rsidP="00EC5748">
            <w:pPr>
              <w:ind w:left="-67"/>
              <w:rPr>
                <w:rFonts w:eastAsia="Times New Roman"/>
                <w:i/>
                <w:iCs/>
                <w:color w:val="000000"/>
                <w:lang w:eastAsia="fr-CA"/>
              </w:rPr>
            </w:pPr>
          </w:p>
        </w:tc>
        <w:tc>
          <w:tcPr>
            <w:tcW w:w="1100" w:type="dxa"/>
            <w:tcBorders>
              <w:top w:val="nil"/>
              <w:left w:val="nil"/>
              <w:bottom w:val="single" w:sz="4" w:space="0" w:color="auto"/>
              <w:right w:val="nil"/>
            </w:tcBorders>
            <w:vAlign w:val="center"/>
            <w:hideMark/>
          </w:tcPr>
          <w:p w14:paraId="25498806"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17</w:t>
            </w:r>
          </w:p>
        </w:tc>
        <w:tc>
          <w:tcPr>
            <w:tcW w:w="1460" w:type="dxa"/>
            <w:tcBorders>
              <w:top w:val="nil"/>
              <w:left w:val="nil"/>
              <w:bottom w:val="single" w:sz="4" w:space="0" w:color="auto"/>
              <w:right w:val="nil"/>
            </w:tcBorders>
            <w:vAlign w:val="center"/>
            <w:hideMark/>
          </w:tcPr>
          <w:p w14:paraId="10F40A33"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63</w:t>
            </w:r>
          </w:p>
        </w:tc>
        <w:tc>
          <w:tcPr>
            <w:tcW w:w="1200" w:type="dxa"/>
            <w:tcBorders>
              <w:top w:val="nil"/>
              <w:left w:val="nil"/>
              <w:bottom w:val="single" w:sz="4" w:space="0" w:color="auto"/>
              <w:right w:val="nil"/>
            </w:tcBorders>
            <w:vAlign w:val="center"/>
            <w:hideMark/>
          </w:tcPr>
          <w:p w14:paraId="7D380CF5"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29</w:t>
            </w:r>
          </w:p>
        </w:tc>
        <w:tc>
          <w:tcPr>
            <w:tcW w:w="2017" w:type="dxa"/>
            <w:tcBorders>
              <w:top w:val="nil"/>
              <w:left w:val="nil"/>
              <w:bottom w:val="single" w:sz="4" w:space="0" w:color="auto"/>
              <w:right w:val="nil"/>
            </w:tcBorders>
            <w:vAlign w:val="center"/>
            <w:hideMark/>
          </w:tcPr>
          <w:p w14:paraId="6A560950"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46</w:t>
            </w:r>
          </w:p>
        </w:tc>
        <w:tc>
          <w:tcPr>
            <w:tcW w:w="2268" w:type="dxa"/>
            <w:vMerge/>
            <w:tcBorders>
              <w:top w:val="nil"/>
              <w:left w:val="nil"/>
              <w:bottom w:val="single" w:sz="4" w:space="0" w:color="auto"/>
              <w:right w:val="single" w:sz="4" w:space="0" w:color="auto"/>
            </w:tcBorders>
            <w:vAlign w:val="center"/>
            <w:hideMark/>
          </w:tcPr>
          <w:p w14:paraId="01B03B13" w14:textId="77777777" w:rsidR="000E15B7" w:rsidRPr="00EC5748" w:rsidRDefault="000E15B7" w:rsidP="00EC5748">
            <w:pPr>
              <w:ind w:left="-67"/>
              <w:rPr>
                <w:rFonts w:eastAsia="Times New Roman"/>
                <w:color w:val="000000"/>
                <w:lang w:eastAsia="fr-CA"/>
              </w:rPr>
            </w:pPr>
          </w:p>
        </w:tc>
      </w:tr>
      <w:tr w:rsidR="000E15B7" w:rsidRPr="00EC5748" w14:paraId="2B3DE0F4" w14:textId="77777777" w:rsidTr="00422E71">
        <w:trPr>
          <w:trHeight w:val="288"/>
        </w:trPr>
        <w:tc>
          <w:tcPr>
            <w:tcW w:w="1878" w:type="dxa"/>
            <w:vMerge/>
            <w:tcBorders>
              <w:top w:val="nil"/>
              <w:left w:val="single" w:sz="4" w:space="0" w:color="auto"/>
              <w:bottom w:val="single" w:sz="4" w:space="0" w:color="000000"/>
              <w:right w:val="nil"/>
            </w:tcBorders>
            <w:vAlign w:val="center"/>
            <w:hideMark/>
          </w:tcPr>
          <w:p w14:paraId="347912C4" w14:textId="77777777" w:rsidR="000E15B7" w:rsidRPr="00EC5748" w:rsidRDefault="000E15B7" w:rsidP="00EC5748">
            <w:pPr>
              <w:ind w:left="-67"/>
              <w:rPr>
                <w:rFonts w:eastAsia="Times New Roman"/>
                <w:i/>
                <w:iCs/>
                <w:color w:val="000000"/>
                <w:lang w:eastAsia="fr-CA"/>
              </w:rPr>
            </w:pPr>
          </w:p>
        </w:tc>
        <w:tc>
          <w:tcPr>
            <w:tcW w:w="1100" w:type="dxa"/>
            <w:tcBorders>
              <w:top w:val="nil"/>
              <w:left w:val="nil"/>
              <w:bottom w:val="single" w:sz="4" w:space="0" w:color="auto"/>
              <w:right w:val="nil"/>
            </w:tcBorders>
            <w:vAlign w:val="center"/>
            <w:hideMark/>
          </w:tcPr>
          <w:p w14:paraId="23D1AA78"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 xml:space="preserve"> 7 et 11</w:t>
            </w:r>
          </w:p>
        </w:tc>
        <w:tc>
          <w:tcPr>
            <w:tcW w:w="1460" w:type="dxa"/>
            <w:tcBorders>
              <w:top w:val="nil"/>
              <w:left w:val="nil"/>
              <w:bottom w:val="single" w:sz="4" w:space="0" w:color="auto"/>
              <w:right w:val="nil"/>
            </w:tcBorders>
            <w:vAlign w:val="center"/>
            <w:hideMark/>
          </w:tcPr>
          <w:p w14:paraId="3D857916"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62</w:t>
            </w:r>
          </w:p>
        </w:tc>
        <w:tc>
          <w:tcPr>
            <w:tcW w:w="1200" w:type="dxa"/>
            <w:tcBorders>
              <w:top w:val="nil"/>
              <w:left w:val="nil"/>
              <w:bottom w:val="single" w:sz="4" w:space="0" w:color="auto"/>
              <w:right w:val="nil"/>
            </w:tcBorders>
            <w:vAlign w:val="center"/>
            <w:hideMark/>
          </w:tcPr>
          <w:p w14:paraId="44832360"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29</w:t>
            </w:r>
          </w:p>
        </w:tc>
        <w:tc>
          <w:tcPr>
            <w:tcW w:w="2017" w:type="dxa"/>
            <w:tcBorders>
              <w:top w:val="nil"/>
              <w:left w:val="nil"/>
              <w:bottom w:val="single" w:sz="4" w:space="0" w:color="auto"/>
              <w:right w:val="nil"/>
            </w:tcBorders>
            <w:vAlign w:val="center"/>
            <w:hideMark/>
          </w:tcPr>
          <w:p w14:paraId="75F0E04E"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46,8</w:t>
            </w:r>
          </w:p>
        </w:tc>
        <w:tc>
          <w:tcPr>
            <w:tcW w:w="2268" w:type="dxa"/>
            <w:tcBorders>
              <w:top w:val="single" w:sz="4" w:space="0" w:color="auto"/>
              <w:left w:val="nil"/>
              <w:bottom w:val="single" w:sz="4" w:space="0" w:color="auto"/>
              <w:right w:val="single" w:sz="4" w:space="0" w:color="auto"/>
            </w:tcBorders>
            <w:vAlign w:val="center"/>
            <w:hideMark/>
          </w:tcPr>
          <w:p w14:paraId="34DA06A6" w14:textId="46874E0D" w:rsidR="000E15B7" w:rsidRPr="00EC5748" w:rsidRDefault="00862C22" w:rsidP="00EC5748">
            <w:pPr>
              <w:ind w:left="-67"/>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60E7A231" w14:textId="77777777" w:rsidTr="00EC5748">
        <w:trPr>
          <w:trHeight w:val="288"/>
        </w:trPr>
        <w:tc>
          <w:tcPr>
            <w:tcW w:w="1878" w:type="dxa"/>
            <w:vMerge w:val="restart"/>
            <w:tcBorders>
              <w:top w:val="nil"/>
              <w:left w:val="single" w:sz="4" w:space="0" w:color="auto"/>
              <w:bottom w:val="single" w:sz="4" w:space="0" w:color="000000"/>
              <w:right w:val="nil"/>
            </w:tcBorders>
            <w:vAlign w:val="center"/>
            <w:hideMark/>
          </w:tcPr>
          <w:p w14:paraId="7FEBB186" w14:textId="77777777" w:rsidR="000E15B7" w:rsidRPr="00EC5748" w:rsidRDefault="000E15B7" w:rsidP="00EC5748">
            <w:pPr>
              <w:ind w:left="-67"/>
              <w:jc w:val="center"/>
              <w:rPr>
                <w:rFonts w:eastAsia="Times New Roman"/>
                <w:color w:val="000000"/>
                <w:lang w:eastAsia="fr-CA"/>
              </w:rPr>
            </w:pPr>
            <w:proofErr w:type="spellStart"/>
            <w:r w:rsidRPr="00EC5748">
              <w:rPr>
                <w:rFonts w:eastAsia="Times New Roman"/>
                <w:i/>
                <w:iCs/>
                <w:color w:val="000000"/>
                <w:lang w:eastAsia="fr-CA"/>
              </w:rPr>
              <w:t>Colletotrichum</w:t>
            </w:r>
            <w:proofErr w:type="spellEnd"/>
            <w:r w:rsidRPr="00EC5748">
              <w:rPr>
                <w:rFonts w:eastAsia="Times New Roman"/>
                <w:color w:val="000000"/>
                <w:lang w:eastAsia="fr-CA"/>
              </w:rPr>
              <w:t xml:space="preserve"> </w:t>
            </w:r>
            <w:proofErr w:type="spellStart"/>
            <w:r w:rsidRPr="00EC5748">
              <w:rPr>
                <w:rFonts w:eastAsia="Times New Roman"/>
                <w:color w:val="000000"/>
                <w:lang w:eastAsia="fr-CA"/>
              </w:rPr>
              <w:t>spp</w:t>
            </w:r>
            <w:proofErr w:type="spellEnd"/>
            <w:r w:rsidRPr="00EC5748">
              <w:rPr>
                <w:rFonts w:eastAsia="Times New Roman"/>
                <w:color w:val="000000"/>
                <w:lang w:eastAsia="fr-CA"/>
              </w:rPr>
              <w:t>.</w:t>
            </w:r>
          </w:p>
        </w:tc>
        <w:tc>
          <w:tcPr>
            <w:tcW w:w="1100" w:type="dxa"/>
            <w:tcBorders>
              <w:top w:val="nil"/>
              <w:left w:val="nil"/>
              <w:bottom w:val="single" w:sz="4" w:space="0" w:color="auto"/>
              <w:right w:val="nil"/>
            </w:tcBorders>
            <w:vAlign w:val="center"/>
            <w:hideMark/>
          </w:tcPr>
          <w:p w14:paraId="10066D6D"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7</w:t>
            </w:r>
          </w:p>
        </w:tc>
        <w:tc>
          <w:tcPr>
            <w:tcW w:w="1460" w:type="dxa"/>
            <w:tcBorders>
              <w:top w:val="nil"/>
              <w:left w:val="nil"/>
              <w:bottom w:val="single" w:sz="4" w:space="0" w:color="auto"/>
              <w:right w:val="nil"/>
            </w:tcBorders>
            <w:vAlign w:val="center"/>
            <w:hideMark/>
          </w:tcPr>
          <w:p w14:paraId="61A098EE"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30</w:t>
            </w:r>
          </w:p>
        </w:tc>
        <w:tc>
          <w:tcPr>
            <w:tcW w:w="1200" w:type="dxa"/>
            <w:tcBorders>
              <w:top w:val="nil"/>
              <w:left w:val="nil"/>
              <w:bottom w:val="single" w:sz="4" w:space="0" w:color="auto"/>
              <w:right w:val="nil"/>
            </w:tcBorders>
            <w:vAlign w:val="center"/>
            <w:hideMark/>
          </w:tcPr>
          <w:p w14:paraId="6917D45A"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30</w:t>
            </w:r>
          </w:p>
        </w:tc>
        <w:tc>
          <w:tcPr>
            <w:tcW w:w="2017" w:type="dxa"/>
            <w:tcBorders>
              <w:top w:val="nil"/>
              <w:left w:val="nil"/>
              <w:bottom w:val="single" w:sz="4" w:space="0" w:color="auto"/>
              <w:right w:val="nil"/>
            </w:tcBorders>
            <w:vAlign w:val="center"/>
            <w:hideMark/>
          </w:tcPr>
          <w:p w14:paraId="523A5E21"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100</w:t>
            </w:r>
          </w:p>
        </w:tc>
        <w:tc>
          <w:tcPr>
            <w:tcW w:w="2268" w:type="dxa"/>
            <w:vMerge w:val="restart"/>
            <w:tcBorders>
              <w:top w:val="nil"/>
              <w:left w:val="nil"/>
              <w:bottom w:val="nil"/>
              <w:right w:val="single" w:sz="4" w:space="0" w:color="auto"/>
            </w:tcBorders>
            <w:vAlign w:val="center"/>
            <w:hideMark/>
          </w:tcPr>
          <w:p w14:paraId="243A053C"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30</w:t>
            </w:r>
          </w:p>
        </w:tc>
      </w:tr>
      <w:tr w:rsidR="000E15B7" w:rsidRPr="00EC5748" w14:paraId="7F373863" w14:textId="77777777" w:rsidTr="00C62E60">
        <w:trPr>
          <w:trHeight w:val="288"/>
        </w:trPr>
        <w:tc>
          <w:tcPr>
            <w:tcW w:w="1878" w:type="dxa"/>
            <w:vMerge/>
            <w:tcBorders>
              <w:top w:val="nil"/>
              <w:left w:val="single" w:sz="4" w:space="0" w:color="auto"/>
              <w:bottom w:val="single" w:sz="4" w:space="0" w:color="000000"/>
              <w:right w:val="nil"/>
            </w:tcBorders>
            <w:vAlign w:val="center"/>
            <w:hideMark/>
          </w:tcPr>
          <w:p w14:paraId="31461203" w14:textId="77777777" w:rsidR="000E15B7" w:rsidRPr="00EC5748" w:rsidRDefault="000E15B7" w:rsidP="00EC5748">
            <w:pPr>
              <w:ind w:left="-67"/>
              <w:rPr>
                <w:rFonts w:eastAsia="Times New Roman"/>
                <w:color w:val="000000"/>
                <w:lang w:eastAsia="fr-CA"/>
              </w:rPr>
            </w:pPr>
          </w:p>
        </w:tc>
        <w:tc>
          <w:tcPr>
            <w:tcW w:w="1100" w:type="dxa"/>
            <w:tcBorders>
              <w:top w:val="nil"/>
              <w:left w:val="nil"/>
              <w:bottom w:val="single" w:sz="4" w:space="0" w:color="auto"/>
              <w:right w:val="nil"/>
            </w:tcBorders>
            <w:vAlign w:val="center"/>
            <w:hideMark/>
          </w:tcPr>
          <w:p w14:paraId="682DB941"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11</w:t>
            </w:r>
          </w:p>
        </w:tc>
        <w:tc>
          <w:tcPr>
            <w:tcW w:w="1460" w:type="dxa"/>
            <w:tcBorders>
              <w:top w:val="nil"/>
              <w:left w:val="nil"/>
              <w:bottom w:val="single" w:sz="4" w:space="0" w:color="auto"/>
              <w:right w:val="nil"/>
            </w:tcBorders>
            <w:vAlign w:val="center"/>
            <w:hideMark/>
          </w:tcPr>
          <w:p w14:paraId="3D28ED59"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30</w:t>
            </w:r>
          </w:p>
        </w:tc>
        <w:tc>
          <w:tcPr>
            <w:tcW w:w="1200" w:type="dxa"/>
            <w:tcBorders>
              <w:top w:val="nil"/>
              <w:left w:val="nil"/>
              <w:bottom w:val="single" w:sz="4" w:space="0" w:color="auto"/>
              <w:right w:val="nil"/>
            </w:tcBorders>
            <w:vAlign w:val="center"/>
            <w:hideMark/>
          </w:tcPr>
          <w:p w14:paraId="66263709"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30</w:t>
            </w:r>
          </w:p>
        </w:tc>
        <w:tc>
          <w:tcPr>
            <w:tcW w:w="2017" w:type="dxa"/>
            <w:tcBorders>
              <w:top w:val="nil"/>
              <w:left w:val="nil"/>
              <w:bottom w:val="single" w:sz="4" w:space="0" w:color="auto"/>
              <w:right w:val="nil"/>
            </w:tcBorders>
            <w:vAlign w:val="center"/>
            <w:hideMark/>
          </w:tcPr>
          <w:p w14:paraId="631A4DF4"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100</w:t>
            </w:r>
          </w:p>
        </w:tc>
        <w:tc>
          <w:tcPr>
            <w:tcW w:w="2268" w:type="dxa"/>
            <w:vMerge/>
            <w:tcBorders>
              <w:top w:val="nil"/>
              <w:left w:val="nil"/>
              <w:bottom w:val="single" w:sz="4" w:space="0" w:color="auto"/>
              <w:right w:val="single" w:sz="4" w:space="0" w:color="auto"/>
            </w:tcBorders>
            <w:vAlign w:val="center"/>
            <w:hideMark/>
          </w:tcPr>
          <w:p w14:paraId="032D62E2" w14:textId="77777777" w:rsidR="000E15B7" w:rsidRPr="00EC5748" w:rsidRDefault="000E15B7" w:rsidP="00EC5748">
            <w:pPr>
              <w:ind w:left="-67"/>
              <w:rPr>
                <w:rFonts w:eastAsia="Times New Roman"/>
                <w:color w:val="000000"/>
                <w:lang w:eastAsia="fr-CA"/>
              </w:rPr>
            </w:pPr>
          </w:p>
        </w:tc>
      </w:tr>
      <w:tr w:rsidR="000E15B7" w:rsidRPr="00EC5748" w14:paraId="324D7470" w14:textId="77777777" w:rsidTr="00B04FA8">
        <w:trPr>
          <w:trHeight w:val="288"/>
        </w:trPr>
        <w:tc>
          <w:tcPr>
            <w:tcW w:w="1878" w:type="dxa"/>
            <w:vMerge/>
            <w:tcBorders>
              <w:top w:val="nil"/>
              <w:left w:val="single" w:sz="4" w:space="0" w:color="auto"/>
              <w:bottom w:val="single" w:sz="4" w:space="0" w:color="auto"/>
              <w:right w:val="nil"/>
            </w:tcBorders>
            <w:vAlign w:val="center"/>
            <w:hideMark/>
          </w:tcPr>
          <w:p w14:paraId="047B2854" w14:textId="77777777" w:rsidR="000E15B7" w:rsidRPr="00EC5748" w:rsidRDefault="000E15B7" w:rsidP="00EC5748">
            <w:pPr>
              <w:ind w:left="-67"/>
              <w:rPr>
                <w:rFonts w:eastAsia="Times New Roman"/>
                <w:color w:val="000000"/>
                <w:lang w:eastAsia="fr-CA"/>
              </w:rPr>
            </w:pPr>
          </w:p>
        </w:tc>
        <w:tc>
          <w:tcPr>
            <w:tcW w:w="1100" w:type="dxa"/>
            <w:tcBorders>
              <w:top w:val="nil"/>
              <w:left w:val="nil"/>
              <w:bottom w:val="single" w:sz="4" w:space="0" w:color="auto"/>
              <w:right w:val="nil"/>
            </w:tcBorders>
            <w:vAlign w:val="center"/>
            <w:hideMark/>
          </w:tcPr>
          <w:p w14:paraId="03C6DA63"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7 et 11</w:t>
            </w:r>
          </w:p>
        </w:tc>
        <w:tc>
          <w:tcPr>
            <w:tcW w:w="1460" w:type="dxa"/>
            <w:tcBorders>
              <w:top w:val="nil"/>
              <w:left w:val="nil"/>
              <w:bottom w:val="single" w:sz="4" w:space="0" w:color="auto"/>
              <w:right w:val="nil"/>
            </w:tcBorders>
            <w:vAlign w:val="center"/>
            <w:hideMark/>
          </w:tcPr>
          <w:p w14:paraId="7EB4C075"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30</w:t>
            </w:r>
          </w:p>
        </w:tc>
        <w:tc>
          <w:tcPr>
            <w:tcW w:w="1200" w:type="dxa"/>
            <w:tcBorders>
              <w:top w:val="nil"/>
              <w:left w:val="nil"/>
              <w:bottom w:val="single" w:sz="4" w:space="0" w:color="auto"/>
              <w:right w:val="nil"/>
            </w:tcBorders>
            <w:vAlign w:val="center"/>
            <w:hideMark/>
          </w:tcPr>
          <w:p w14:paraId="7748470E"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30</w:t>
            </w:r>
          </w:p>
        </w:tc>
        <w:tc>
          <w:tcPr>
            <w:tcW w:w="2017" w:type="dxa"/>
            <w:tcBorders>
              <w:top w:val="nil"/>
              <w:left w:val="nil"/>
              <w:bottom w:val="single" w:sz="4" w:space="0" w:color="auto"/>
              <w:right w:val="nil"/>
            </w:tcBorders>
            <w:vAlign w:val="center"/>
            <w:hideMark/>
          </w:tcPr>
          <w:p w14:paraId="2ADADC59" w14:textId="77777777" w:rsidR="000E15B7" w:rsidRPr="00EC5748" w:rsidRDefault="000E15B7" w:rsidP="00EC5748">
            <w:pPr>
              <w:ind w:left="-67"/>
              <w:jc w:val="center"/>
              <w:rPr>
                <w:rFonts w:eastAsia="Times New Roman"/>
                <w:color w:val="000000"/>
                <w:lang w:eastAsia="fr-CA"/>
              </w:rPr>
            </w:pPr>
            <w:r w:rsidRPr="00EC5748">
              <w:rPr>
                <w:rFonts w:eastAsia="Times New Roman"/>
                <w:color w:val="000000"/>
                <w:lang w:eastAsia="fr-CA"/>
              </w:rPr>
              <w:t>100</w:t>
            </w:r>
          </w:p>
        </w:tc>
        <w:tc>
          <w:tcPr>
            <w:tcW w:w="2268" w:type="dxa"/>
            <w:tcBorders>
              <w:top w:val="single" w:sz="4" w:space="0" w:color="auto"/>
              <w:left w:val="nil"/>
              <w:bottom w:val="single" w:sz="4" w:space="0" w:color="auto"/>
              <w:right w:val="single" w:sz="4" w:space="0" w:color="auto"/>
            </w:tcBorders>
            <w:vAlign w:val="center"/>
            <w:hideMark/>
          </w:tcPr>
          <w:p w14:paraId="29440A57" w14:textId="71366246" w:rsidR="000E15B7" w:rsidRPr="00EC5748" w:rsidRDefault="00862C22" w:rsidP="00EC5748">
            <w:pPr>
              <w:ind w:left="-67"/>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bl>
    <w:p w14:paraId="6078B571" w14:textId="77777777" w:rsidR="000E15B7" w:rsidRPr="00EC5748" w:rsidRDefault="000E15B7" w:rsidP="000E15B7">
      <w:pPr>
        <w:jc w:val="both"/>
      </w:pPr>
      <w:r w:rsidRPr="00EC5748">
        <w:rPr>
          <w:sz w:val="20"/>
          <w:szCs w:val="20"/>
        </w:rPr>
        <w:t xml:space="preserve">* Dans le cadre de </w:t>
      </w:r>
      <w:proofErr w:type="spellStart"/>
      <w:r w:rsidRPr="00EC5748">
        <w:rPr>
          <w:i/>
          <w:iCs/>
          <w:sz w:val="20"/>
          <w:szCs w:val="20"/>
        </w:rPr>
        <w:t>Colletotrichum</w:t>
      </w:r>
      <w:proofErr w:type="spellEnd"/>
      <w:r w:rsidRPr="00EC5748">
        <w:rPr>
          <w:i/>
          <w:iCs/>
          <w:sz w:val="20"/>
          <w:szCs w:val="20"/>
        </w:rPr>
        <w:t xml:space="preserve"> </w:t>
      </w:r>
      <w:proofErr w:type="spellStart"/>
      <w:r w:rsidRPr="00EC5748">
        <w:rPr>
          <w:sz w:val="20"/>
          <w:szCs w:val="20"/>
        </w:rPr>
        <w:t>spp</w:t>
      </w:r>
      <w:proofErr w:type="spellEnd"/>
      <w:r w:rsidRPr="00EC5748">
        <w:rPr>
          <w:sz w:val="20"/>
          <w:szCs w:val="20"/>
        </w:rPr>
        <w:t>., seul le pourcentage des souches résistantes aux fongicides du groupe 11 est rapporté. Ce champignon est insensible aux fongicides du groupe 7.</w:t>
      </w:r>
    </w:p>
    <w:p w14:paraId="11D59834" w14:textId="77777777" w:rsidR="000E15B7" w:rsidRPr="00EC5748" w:rsidRDefault="000E15B7" w:rsidP="000E15B7">
      <w:pPr>
        <w:jc w:val="both"/>
        <w:rPr>
          <w:b/>
          <w:bCs/>
          <w:color w:val="709FDB" w:themeColor="text2" w:themeTint="80"/>
        </w:rPr>
      </w:pPr>
    </w:p>
    <w:p w14:paraId="4A3CC8CC" w14:textId="77777777" w:rsidR="000E15B7" w:rsidRPr="00EC5748" w:rsidRDefault="000E15B7" w:rsidP="000E15B7">
      <w:pPr>
        <w:jc w:val="both"/>
        <w:rPr>
          <w:b/>
          <w:bCs/>
          <w:color w:val="709FDB" w:themeColor="text2" w:themeTint="80"/>
        </w:rPr>
      </w:pPr>
    </w:p>
    <w:p w14:paraId="18F02602" w14:textId="77777777" w:rsidR="000E15B7" w:rsidRPr="00EC5748" w:rsidRDefault="000E15B7" w:rsidP="000E15B7">
      <w:pPr>
        <w:jc w:val="both"/>
        <w:rPr>
          <w:b/>
          <w:bCs/>
          <w:color w:val="709FDB" w:themeColor="text2" w:themeTint="80"/>
        </w:rPr>
      </w:pPr>
      <w:r w:rsidRPr="00EC5748">
        <w:rPr>
          <w:b/>
          <w:bCs/>
          <w:color w:val="709FDB" w:themeColor="text2" w:themeTint="80"/>
        </w:rPr>
        <w:t>- Framboisier -</w:t>
      </w:r>
    </w:p>
    <w:tbl>
      <w:tblPr>
        <w:tblW w:w="9923" w:type="dxa"/>
        <w:tblInd w:w="-572" w:type="dxa"/>
        <w:tblCellMar>
          <w:left w:w="70" w:type="dxa"/>
          <w:right w:w="70" w:type="dxa"/>
        </w:tblCellMar>
        <w:tblLook w:val="04A0" w:firstRow="1" w:lastRow="0" w:firstColumn="1" w:lastColumn="0" w:noHBand="0" w:noVBand="1"/>
      </w:tblPr>
      <w:tblGrid>
        <w:gridCol w:w="1861"/>
        <w:gridCol w:w="1260"/>
        <w:gridCol w:w="419"/>
        <w:gridCol w:w="855"/>
        <w:gridCol w:w="985"/>
        <w:gridCol w:w="385"/>
        <w:gridCol w:w="1985"/>
        <w:gridCol w:w="2173"/>
      </w:tblGrid>
      <w:tr w:rsidR="000E15B7" w:rsidRPr="00EC5748" w14:paraId="0A0B97D0" w14:textId="77777777" w:rsidTr="00EC5748">
        <w:trPr>
          <w:trHeight w:val="864"/>
        </w:trPr>
        <w:tc>
          <w:tcPr>
            <w:tcW w:w="1868"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4FEEE3C8" w14:textId="77777777" w:rsidR="000E15B7" w:rsidRPr="00EC5748" w:rsidRDefault="000E15B7" w:rsidP="00EC5748">
            <w:pPr>
              <w:jc w:val="center"/>
              <w:rPr>
                <w:rFonts w:eastAsia="Times New Roman"/>
                <w:b/>
                <w:bCs/>
                <w:lang w:eastAsia="fr-CA"/>
              </w:rPr>
            </w:pPr>
            <w:r w:rsidRPr="00EC5748">
              <w:rPr>
                <w:rFonts w:eastAsia="Times New Roman"/>
                <w:b/>
                <w:bCs/>
                <w:lang w:eastAsia="fr-CA"/>
              </w:rPr>
              <w:t>Champignon</w:t>
            </w:r>
          </w:p>
        </w:tc>
        <w:tc>
          <w:tcPr>
            <w:tcW w:w="1260"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1AA54D52" w14:textId="77777777" w:rsidR="000E15B7" w:rsidRPr="00EC5748" w:rsidRDefault="000E15B7" w:rsidP="00EC5748">
            <w:pPr>
              <w:jc w:val="center"/>
              <w:rPr>
                <w:rFonts w:eastAsia="Times New Roman"/>
                <w:b/>
                <w:bCs/>
                <w:lang w:eastAsia="fr-CA"/>
              </w:rPr>
            </w:pPr>
            <w:r w:rsidRPr="00EC5748">
              <w:rPr>
                <w:rFonts w:eastAsia="Times New Roman"/>
                <w:b/>
                <w:bCs/>
                <w:lang w:eastAsia="fr-CA"/>
              </w:rPr>
              <w:t>Groupe(s) de fongicides FRAC</w:t>
            </w:r>
          </w:p>
        </w:tc>
        <w:tc>
          <w:tcPr>
            <w:tcW w:w="1274" w:type="dxa"/>
            <w:gridSpan w:val="2"/>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5293F836" w14:textId="77777777" w:rsidR="000E15B7" w:rsidRPr="00EC5748" w:rsidRDefault="000E15B7" w:rsidP="00EC5748">
            <w:pPr>
              <w:jc w:val="center"/>
              <w:rPr>
                <w:rFonts w:eastAsia="Times New Roman"/>
                <w:b/>
                <w:bCs/>
                <w:lang w:eastAsia="fr-CA"/>
              </w:rPr>
            </w:pPr>
            <w:r w:rsidRPr="00EC5748">
              <w:rPr>
                <w:rFonts w:eastAsia="Times New Roman"/>
                <w:b/>
                <w:bCs/>
                <w:lang w:eastAsia="fr-CA"/>
              </w:rPr>
              <w:t>Nombre de souches testées</w:t>
            </w:r>
          </w:p>
        </w:tc>
        <w:tc>
          <w:tcPr>
            <w:tcW w:w="1349" w:type="dxa"/>
            <w:gridSpan w:val="2"/>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11A61D04" w14:textId="77777777" w:rsidR="000E15B7" w:rsidRPr="00EC5748" w:rsidRDefault="000E15B7" w:rsidP="00EC5748">
            <w:pPr>
              <w:jc w:val="center"/>
              <w:rPr>
                <w:rFonts w:eastAsia="Times New Roman"/>
                <w:b/>
                <w:bCs/>
                <w:lang w:eastAsia="fr-CA"/>
              </w:rPr>
            </w:pPr>
            <w:r w:rsidRPr="00EC5748">
              <w:rPr>
                <w:rFonts w:eastAsia="Times New Roman"/>
                <w:b/>
                <w:bCs/>
                <w:lang w:eastAsia="fr-CA"/>
              </w:rPr>
              <w:t>Nombre de souches résistantes</w:t>
            </w:r>
          </w:p>
        </w:tc>
        <w:tc>
          <w:tcPr>
            <w:tcW w:w="1985"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2CB3DD6C" w14:textId="77777777" w:rsidR="000E15B7" w:rsidRPr="00EC5748" w:rsidRDefault="000E15B7" w:rsidP="00EC5748">
            <w:pPr>
              <w:jc w:val="center"/>
              <w:rPr>
                <w:rFonts w:eastAsia="Times New Roman"/>
                <w:b/>
                <w:bCs/>
                <w:lang w:eastAsia="fr-CA"/>
              </w:rPr>
            </w:pPr>
            <w:r w:rsidRPr="00EC5748">
              <w:rPr>
                <w:rFonts w:eastAsia="Times New Roman"/>
                <w:b/>
                <w:bCs/>
                <w:lang w:eastAsia="fr-CA"/>
              </w:rPr>
              <w:t>% des souches résistantes (groupe fongicide)</w:t>
            </w:r>
          </w:p>
        </w:tc>
        <w:tc>
          <w:tcPr>
            <w:tcW w:w="2187"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0B425034" w14:textId="77777777" w:rsidR="000E15B7" w:rsidRPr="00EC5748" w:rsidRDefault="000E15B7" w:rsidP="00EC5748">
            <w:pPr>
              <w:jc w:val="center"/>
              <w:rPr>
                <w:rFonts w:eastAsia="Times New Roman"/>
                <w:b/>
                <w:bCs/>
                <w:lang w:eastAsia="fr-CA"/>
              </w:rPr>
            </w:pPr>
            <w:r w:rsidRPr="00EC5748">
              <w:rPr>
                <w:rFonts w:eastAsia="Times New Roman"/>
                <w:b/>
                <w:bCs/>
                <w:lang w:eastAsia="fr-CA"/>
              </w:rPr>
              <w:t xml:space="preserve">% des souches résistantes à au moins un groupe de fongicide </w:t>
            </w:r>
          </w:p>
        </w:tc>
      </w:tr>
      <w:tr w:rsidR="000E15B7" w:rsidRPr="00EC5748" w14:paraId="4FB6A494" w14:textId="77777777" w:rsidTr="00EC5748">
        <w:trPr>
          <w:trHeight w:val="288"/>
        </w:trPr>
        <w:tc>
          <w:tcPr>
            <w:tcW w:w="1868" w:type="dxa"/>
            <w:vMerge w:val="restart"/>
            <w:tcBorders>
              <w:top w:val="nil"/>
              <w:left w:val="single" w:sz="4" w:space="0" w:color="auto"/>
              <w:bottom w:val="single" w:sz="4" w:space="0" w:color="000000"/>
              <w:right w:val="nil"/>
            </w:tcBorders>
            <w:vAlign w:val="center"/>
            <w:hideMark/>
          </w:tcPr>
          <w:p w14:paraId="79CBAD86" w14:textId="77777777" w:rsidR="000E15B7" w:rsidRPr="00EC5748" w:rsidRDefault="000E15B7" w:rsidP="00EC5748">
            <w:pPr>
              <w:jc w:val="center"/>
              <w:rPr>
                <w:rFonts w:eastAsia="Times New Roman"/>
                <w:i/>
                <w:iCs/>
                <w:color w:val="000000"/>
                <w:lang w:eastAsia="fr-CA"/>
              </w:rPr>
            </w:pPr>
            <w:r w:rsidRPr="00EC5748">
              <w:rPr>
                <w:rFonts w:eastAsia="Times New Roman"/>
                <w:i/>
                <w:iCs/>
                <w:color w:val="000000"/>
                <w:lang w:eastAsia="fr-CA"/>
              </w:rPr>
              <w:t>Botrytis cinerea</w:t>
            </w:r>
          </w:p>
        </w:tc>
        <w:tc>
          <w:tcPr>
            <w:tcW w:w="1679" w:type="dxa"/>
            <w:gridSpan w:val="2"/>
            <w:tcBorders>
              <w:top w:val="nil"/>
              <w:left w:val="nil"/>
              <w:bottom w:val="single" w:sz="4" w:space="0" w:color="auto"/>
              <w:right w:val="nil"/>
            </w:tcBorders>
            <w:vAlign w:val="center"/>
            <w:hideMark/>
          </w:tcPr>
          <w:p w14:paraId="15CCD8E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840" w:type="dxa"/>
            <w:gridSpan w:val="2"/>
            <w:tcBorders>
              <w:top w:val="nil"/>
              <w:left w:val="nil"/>
              <w:bottom w:val="single" w:sz="4" w:space="0" w:color="auto"/>
              <w:right w:val="nil"/>
            </w:tcBorders>
            <w:noWrap/>
            <w:vAlign w:val="center"/>
            <w:hideMark/>
          </w:tcPr>
          <w:p w14:paraId="6EA9ED0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74</w:t>
            </w:r>
          </w:p>
        </w:tc>
        <w:tc>
          <w:tcPr>
            <w:tcW w:w="364" w:type="dxa"/>
            <w:tcBorders>
              <w:top w:val="nil"/>
              <w:left w:val="nil"/>
              <w:bottom w:val="single" w:sz="4" w:space="0" w:color="auto"/>
              <w:right w:val="nil"/>
            </w:tcBorders>
            <w:noWrap/>
            <w:vAlign w:val="center"/>
            <w:hideMark/>
          </w:tcPr>
          <w:p w14:paraId="07F83BC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40</w:t>
            </w:r>
          </w:p>
        </w:tc>
        <w:tc>
          <w:tcPr>
            <w:tcW w:w="1985" w:type="dxa"/>
            <w:tcBorders>
              <w:top w:val="nil"/>
              <w:left w:val="nil"/>
              <w:bottom w:val="single" w:sz="4" w:space="0" w:color="auto"/>
              <w:right w:val="nil"/>
            </w:tcBorders>
            <w:noWrap/>
            <w:vAlign w:val="center"/>
            <w:hideMark/>
          </w:tcPr>
          <w:p w14:paraId="591B224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54,1</w:t>
            </w:r>
          </w:p>
        </w:tc>
        <w:tc>
          <w:tcPr>
            <w:tcW w:w="2187" w:type="dxa"/>
            <w:vMerge w:val="restart"/>
            <w:tcBorders>
              <w:top w:val="nil"/>
              <w:left w:val="nil"/>
              <w:bottom w:val="nil"/>
              <w:right w:val="single" w:sz="4" w:space="0" w:color="auto"/>
            </w:tcBorders>
            <w:vAlign w:val="center"/>
            <w:hideMark/>
          </w:tcPr>
          <w:p w14:paraId="00FEF2D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70,3</w:t>
            </w:r>
          </w:p>
        </w:tc>
      </w:tr>
      <w:tr w:rsidR="000E15B7" w:rsidRPr="00EC5748" w14:paraId="7DB736E1" w14:textId="77777777" w:rsidTr="00EC5748">
        <w:trPr>
          <w:trHeight w:val="288"/>
        </w:trPr>
        <w:tc>
          <w:tcPr>
            <w:tcW w:w="1868" w:type="dxa"/>
            <w:vMerge/>
            <w:tcBorders>
              <w:top w:val="nil"/>
              <w:left w:val="single" w:sz="4" w:space="0" w:color="auto"/>
              <w:bottom w:val="single" w:sz="4" w:space="0" w:color="000000"/>
              <w:right w:val="nil"/>
            </w:tcBorders>
            <w:vAlign w:val="center"/>
            <w:hideMark/>
          </w:tcPr>
          <w:p w14:paraId="2CD49B62" w14:textId="77777777" w:rsidR="000E15B7" w:rsidRPr="00EC5748" w:rsidRDefault="000E15B7" w:rsidP="00EC5748">
            <w:pPr>
              <w:rPr>
                <w:rFonts w:eastAsia="Times New Roman"/>
                <w:i/>
                <w:iCs/>
                <w:color w:val="000000"/>
                <w:lang w:eastAsia="fr-CA"/>
              </w:rPr>
            </w:pPr>
          </w:p>
        </w:tc>
        <w:tc>
          <w:tcPr>
            <w:tcW w:w="1679" w:type="dxa"/>
            <w:gridSpan w:val="2"/>
            <w:tcBorders>
              <w:top w:val="nil"/>
              <w:left w:val="nil"/>
              <w:bottom w:val="single" w:sz="4" w:space="0" w:color="auto"/>
              <w:right w:val="nil"/>
            </w:tcBorders>
            <w:vAlign w:val="center"/>
            <w:hideMark/>
          </w:tcPr>
          <w:p w14:paraId="7359C6D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840" w:type="dxa"/>
            <w:gridSpan w:val="2"/>
            <w:tcBorders>
              <w:top w:val="nil"/>
              <w:left w:val="nil"/>
              <w:bottom w:val="single" w:sz="4" w:space="0" w:color="auto"/>
              <w:right w:val="nil"/>
            </w:tcBorders>
            <w:noWrap/>
            <w:vAlign w:val="center"/>
            <w:hideMark/>
          </w:tcPr>
          <w:p w14:paraId="562DB71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74</w:t>
            </w:r>
          </w:p>
        </w:tc>
        <w:tc>
          <w:tcPr>
            <w:tcW w:w="364" w:type="dxa"/>
            <w:tcBorders>
              <w:top w:val="nil"/>
              <w:left w:val="nil"/>
              <w:bottom w:val="single" w:sz="4" w:space="0" w:color="auto"/>
              <w:right w:val="nil"/>
            </w:tcBorders>
            <w:noWrap/>
            <w:vAlign w:val="center"/>
            <w:hideMark/>
          </w:tcPr>
          <w:p w14:paraId="32D6B65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35</w:t>
            </w:r>
          </w:p>
        </w:tc>
        <w:tc>
          <w:tcPr>
            <w:tcW w:w="1985" w:type="dxa"/>
            <w:tcBorders>
              <w:top w:val="nil"/>
              <w:left w:val="nil"/>
              <w:bottom w:val="single" w:sz="4" w:space="0" w:color="auto"/>
              <w:right w:val="nil"/>
            </w:tcBorders>
            <w:noWrap/>
            <w:vAlign w:val="center"/>
            <w:hideMark/>
          </w:tcPr>
          <w:p w14:paraId="721EFE0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47,3</w:t>
            </w:r>
          </w:p>
        </w:tc>
        <w:tc>
          <w:tcPr>
            <w:tcW w:w="2187" w:type="dxa"/>
            <w:vMerge/>
            <w:tcBorders>
              <w:top w:val="nil"/>
              <w:left w:val="nil"/>
              <w:bottom w:val="nil"/>
              <w:right w:val="single" w:sz="4" w:space="0" w:color="auto"/>
            </w:tcBorders>
            <w:vAlign w:val="center"/>
            <w:hideMark/>
          </w:tcPr>
          <w:p w14:paraId="2A043021" w14:textId="77777777" w:rsidR="000E15B7" w:rsidRPr="00EC5748" w:rsidRDefault="000E15B7" w:rsidP="00EC5748">
            <w:pPr>
              <w:rPr>
                <w:rFonts w:eastAsia="Times New Roman"/>
                <w:color w:val="000000"/>
                <w:lang w:eastAsia="fr-CA"/>
              </w:rPr>
            </w:pPr>
          </w:p>
        </w:tc>
      </w:tr>
      <w:tr w:rsidR="000E15B7" w:rsidRPr="00EC5748" w14:paraId="4004C43E" w14:textId="77777777" w:rsidTr="00EC5748">
        <w:trPr>
          <w:trHeight w:val="288"/>
        </w:trPr>
        <w:tc>
          <w:tcPr>
            <w:tcW w:w="1868" w:type="dxa"/>
            <w:vMerge/>
            <w:tcBorders>
              <w:top w:val="nil"/>
              <w:left w:val="single" w:sz="4" w:space="0" w:color="auto"/>
              <w:bottom w:val="single" w:sz="4" w:space="0" w:color="000000"/>
              <w:right w:val="nil"/>
            </w:tcBorders>
            <w:vAlign w:val="center"/>
            <w:hideMark/>
          </w:tcPr>
          <w:p w14:paraId="78C14E38" w14:textId="77777777" w:rsidR="000E15B7" w:rsidRPr="00EC5748" w:rsidRDefault="000E15B7" w:rsidP="00EC5748">
            <w:pPr>
              <w:rPr>
                <w:rFonts w:eastAsia="Times New Roman"/>
                <w:i/>
                <w:iCs/>
                <w:color w:val="000000"/>
                <w:lang w:eastAsia="fr-CA"/>
              </w:rPr>
            </w:pPr>
          </w:p>
        </w:tc>
        <w:tc>
          <w:tcPr>
            <w:tcW w:w="1679" w:type="dxa"/>
            <w:gridSpan w:val="2"/>
            <w:tcBorders>
              <w:top w:val="nil"/>
              <w:left w:val="nil"/>
              <w:bottom w:val="single" w:sz="4" w:space="0" w:color="auto"/>
              <w:right w:val="nil"/>
            </w:tcBorders>
            <w:vAlign w:val="center"/>
            <w:hideMark/>
          </w:tcPr>
          <w:p w14:paraId="2AE2BD8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840" w:type="dxa"/>
            <w:gridSpan w:val="2"/>
            <w:tcBorders>
              <w:top w:val="nil"/>
              <w:left w:val="nil"/>
              <w:bottom w:val="single" w:sz="4" w:space="0" w:color="auto"/>
              <w:right w:val="nil"/>
            </w:tcBorders>
            <w:noWrap/>
            <w:vAlign w:val="center"/>
            <w:hideMark/>
          </w:tcPr>
          <w:p w14:paraId="578E596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73</w:t>
            </w:r>
          </w:p>
        </w:tc>
        <w:tc>
          <w:tcPr>
            <w:tcW w:w="364" w:type="dxa"/>
            <w:tcBorders>
              <w:top w:val="nil"/>
              <w:left w:val="nil"/>
              <w:bottom w:val="single" w:sz="4" w:space="0" w:color="auto"/>
              <w:right w:val="nil"/>
            </w:tcBorders>
            <w:noWrap/>
            <w:vAlign w:val="center"/>
            <w:hideMark/>
          </w:tcPr>
          <w:p w14:paraId="0B09CC4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41</w:t>
            </w:r>
          </w:p>
        </w:tc>
        <w:tc>
          <w:tcPr>
            <w:tcW w:w="1985" w:type="dxa"/>
            <w:tcBorders>
              <w:top w:val="nil"/>
              <w:left w:val="nil"/>
              <w:bottom w:val="single" w:sz="4" w:space="0" w:color="auto"/>
              <w:right w:val="nil"/>
            </w:tcBorders>
            <w:noWrap/>
            <w:vAlign w:val="center"/>
            <w:hideMark/>
          </w:tcPr>
          <w:p w14:paraId="11EF325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56,2</w:t>
            </w:r>
          </w:p>
        </w:tc>
        <w:tc>
          <w:tcPr>
            <w:tcW w:w="2187" w:type="dxa"/>
            <w:vMerge/>
            <w:tcBorders>
              <w:top w:val="nil"/>
              <w:left w:val="nil"/>
              <w:bottom w:val="nil"/>
              <w:right w:val="single" w:sz="4" w:space="0" w:color="auto"/>
            </w:tcBorders>
            <w:vAlign w:val="center"/>
            <w:hideMark/>
          </w:tcPr>
          <w:p w14:paraId="206AE5F6" w14:textId="77777777" w:rsidR="000E15B7" w:rsidRPr="00EC5748" w:rsidRDefault="000E15B7" w:rsidP="00EC5748">
            <w:pPr>
              <w:rPr>
                <w:rFonts w:eastAsia="Times New Roman"/>
                <w:color w:val="000000"/>
                <w:lang w:eastAsia="fr-CA"/>
              </w:rPr>
            </w:pPr>
          </w:p>
        </w:tc>
      </w:tr>
      <w:tr w:rsidR="000E15B7" w:rsidRPr="00EC5748" w14:paraId="781B59A9" w14:textId="77777777" w:rsidTr="00C62E60">
        <w:trPr>
          <w:trHeight w:val="288"/>
        </w:trPr>
        <w:tc>
          <w:tcPr>
            <w:tcW w:w="1868" w:type="dxa"/>
            <w:vMerge/>
            <w:tcBorders>
              <w:top w:val="nil"/>
              <w:left w:val="single" w:sz="4" w:space="0" w:color="auto"/>
              <w:bottom w:val="single" w:sz="4" w:space="0" w:color="000000"/>
              <w:right w:val="nil"/>
            </w:tcBorders>
            <w:vAlign w:val="center"/>
            <w:hideMark/>
          </w:tcPr>
          <w:p w14:paraId="11E94901" w14:textId="77777777" w:rsidR="000E15B7" w:rsidRPr="00EC5748" w:rsidRDefault="000E15B7" w:rsidP="00EC5748">
            <w:pPr>
              <w:rPr>
                <w:rFonts w:eastAsia="Times New Roman"/>
                <w:i/>
                <w:iCs/>
                <w:color w:val="000000"/>
                <w:lang w:eastAsia="fr-CA"/>
              </w:rPr>
            </w:pPr>
          </w:p>
        </w:tc>
        <w:tc>
          <w:tcPr>
            <w:tcW w:w="1679" w:type="dxa"/>
            <w:gridSpan w:val="2"/>
            <w:tcBorders>
              <w:top w:val="nil"/>
              <w:left w:val="nil"/>
              <w:bottom w:val="single" w:sz="4" w:space="0" w:color="auto"/>
              <w:right w:val="nil"/>
            </w:tcBorders>
            <w:vAlign w:val="center"/>
            <w:hideMark/>
          </w:tcPr>
          <w:p w14:paraId="3DA273F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840" w:type="dxa"/>
            <w:gridSpan w:val="2"/>
            <w:tcBorders>
              <w:top w:val="nil"/>
              <w:left w:val="nil"/>
              <w:bottom w:val="single" w:sz="4" w:space="0" w:color="auto"/>
              <w:right w:val="nil"/>
            </w:tcBorders>
            <w:noWrap/>
            <w:vAlign w:val="center"/>
            <w:hideMark/>
          </w:tcPr>
          <w:p w14:paraId="1C47CB4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72</w:t>
            </w:r>
          </w:p>
        </w:tc>
        <w:tc>
          <w:tcPr>
            <w:tcW w:w="364" w:type="dxa"/>
            <w:tcBorders>
              <w:top w:val="nil"/>
              <w:left w:val="nil"/>
              <w:bottom w:val="single" w:sz="4" w:space="0" w:color="auto"/>
              <w:right w:val="nil"/>
            </w:tcBorders>
            <w:noWrap/>
            <w:vAlign w:val="center"/>
            <w:hideMark/>
          </w:tcPr>
          <w:p w14:paraId="094F63D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25</w:t>
            </w:r>
          </w:p>
        </w:tc>
        <w:tc>
          <w:tcPr>
            <w:tcW w:w="1985" w:type="dxa"/>
            <w:tcBorders>
              <w:top w:val="nil"/>
              <w:left w:val="nil"/>
              <w:bottom w:val="single" w:sz="4" w:space="0" w:color="auto"/>
              <w:right w:val="nil"/>
            </w:tcBorders>
            <w:noWrap/>
            <w:vAlign w:val="center"/>
            <w:hideMark/>
          </w:tcPr>
          <w:p w14:paraId="45B666F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34,7</w:t>
            </w:r>
          </w:p>
        </w:tc>
        <w:tc>
          <w:tcPr>
            <w:tcW w:w="2187" w:type="dxa"/>
            <w:vMerge/>
            <w:tcBorders>
              <w:top w:val="nil"/>
              <w:left w:val="nil"/>
              <w:bottom w:val="single" w:sz="4" w:space="0" w:color="auto"/>
              <w:right w:val="single" w:sz="4" w:space="0" w:color="auto"/>
            </w:tcBorders>
            <w:vAlign w:val="center"/>
            <w:hideMark/>
          </w:tcPr>
          <w:p w14:paraId="01997B49" w14:textId="77777777" w:rsidR="000E15B7" w:rsidRPr="00EC5748" w:rsidRDefault="000E15B7" w:rsidP="00EC5748">
            <w:pPr>
              <w:rPr>
                <w:rFonts w:eastAsia="Times New Roman"/>
                <w:color w:val="000000"/>
                <w:lang w:eastAsia="fr-CA"/>
              </w:rPr>
            </w:pPr>
          </w:p>
        </w:tc>
      </w:tr>
      <w:tr w:rsidR="000E15B7" w:rsidRPr="00EC5748" w14:paraId="67A84E0D" w14:textId="77777777" w:rsidTr="00422E71">
        <w:trPr>
          <w:trHeight w:val="288"/>
        </w:trPr>
        <w:tc>
          <w:tcPr>
            <w:tcW w:w="1868" w:type="dxa"/>
            <w:vMerge/>
            <w:tcBorders>
              <w:top w:val="nil"/>
              <w:left w:val="single" w:sz="4" w:space="0" w:color="auto"/>
              <w:bottom w:val="single" w:sz="4" w:space="0" w:color="000000"/>
              <w:right w:val="nil"/>
            </w:tcBorders>
            <w:vAlign w:val="center"/>
            <w:hideMark/>
          </w:tcPr>
          <w:p w14:paraId="4C4BA6CD" w14:textId="77777777" w:rsidR="000E15B7" w:rsidRPr="00EC5748" w:rsidRDefault="000E15B7" w:rsidP="00EC5748">
            <w:pPr>
              <w:rPr>
                <w:rFonts w:eastAsia="Times New Roman"/>
                <w:i/>
                <w:iCs/>
                <w:color w:val="000000"/>
                <w:lang w:eastAsia="fr-CA"/>
              </w:rPr>
            </w:pPr>
          </w:p>
        </w:tc>
        <w:tc>
          <w:tcPr>
            <w:tcW w:w="1679" w:type="dxa"/>
            <w:gridSpan w:val="2"/>
            <w:tcBorders>
              <w:top w:val="nil"/>
              <w:left w:val="nil"/>
              <w:bottom w:val="single" w:sz="4" w:space="0" w:color="auto"/>
              <w:right w:val="nil"/>
            </w:tcBorders>
            <w:vAlign w:val="center"/>
            <w:hideMark/>
          </w:tcPr>
          <w:p w14:paraId="0D4AD5F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840" w:type="dxa"/>
            <w:gridSpan w:val="2"/>
            <w:tcBorders>
              <w:top w:val="nil"/>
              <w:left w:val="nil"/>
              <w:bottom w:val="single" w:sz="4" w:space="0" w:color="auto"/>
              <w:right w:val="nil"/>
            </w:tcBorders>
            <w:noWrap/>
            <w:vAlign w:val="center"/>
            <w:hideMark/>
          </w:tcPr>
          <w:p w14:paraId="0AFF809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72</w:t>
            </w:r>
          </w:p>
        </w:tc>
        <w:tc>
          <w:tcPr>
            <w:tcW w:w="364" w:type="dxa"/>
            <w:tcBorders>
              <w:top w:val="nil"/>
              <w:left w:val="nil"/>
              <w:bottom w:val="single" w:sz="4" w:space="0" w:color="auto"/>
              <w:right w:val="nil"/>
            </w:tcBorders>
            <w:noWrap/>
            <w:vAlign w:val="center"/>
            <w:hideMark/>
          </w:tcPr>
          <w:p w14:paraId="06F4A6C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24</w:t>
            </w:r>
          </w:p>
        </w:tc>
        <w:tc>
          <w:tcPr>
            <w:tcW w:w="1985" w:type="dxa"/>
            <w:tcBorders>
              <w:top w:val="nil"/>
              <w:left w:val="nil"/>
              <w:bottom w:val="single" w:sz="4" w:space="0" w:color="auto"/>
              <w:right w:val="nil"/>
            </w:tcBorders>
            <w:noWrap/>
            <w:vAlign w:val="center"/>
            <w:hideMark/>
          </w:tcPr>
          <w:p w14:paraId="72AEE12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33,3</w:t>
            </w:r>
          </w:p>
        </w:tc>
        <w:tc>
          <w:tcPr>
            <w:tcW w:w="2187" w:type="dxa"/>
            <w:tcBorders>
              <w:top w:val="single" w:sz="4" w:space="0" w:color="auto"/>
              <w:left w:val="nil"/>
              <w:bottom w:val="single" w:sz="4" w:space="0" w:color="auto"/>
              <w:right w:val="single" w:sz="4" w:space="0" w:color="auto"/>
            </w:tcBorders>
            <w:vAlign w:val="center"/>
            <w:hideMark/>
          </w:tcPr>
          <w:p w14:paraId="3A018717" w14:textId="623D1583" w:rsidR="000E15B7" w:rsidRPr="00EC5748" w:rsidRDefault="00862C22" w:rsidP="00EC5748">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bl>
    <w:p w14:paraId="3EC73A9D" w14:textId="77777777" w:rsidR="000E15B7" w:rsidRPr="00EC5748" w:rsidRDefault="000E15B7" w:rsidP="000E15B7">
      <w:pPr>
        <w:jc w:val="both"/>
      </w:pPr>
    </w:p>
    <w:p w14:paraId="4D95ECCB" w14:textId="77777777" w:rsidR="00862C22" w:rsidRDefault="00862C22" w:rsidP="000E15B7">
      <w:pPr>
        <w:jc w:val="both"/>
        <w:rPr>
          <w:b/>
          <w:bCs/>
          <w:color w:val="709FDB" w:themeColor="text2" w:themeTint="80"/>
        </w:rPr>
      </w:pPr>
    </w:p>
    <w:p w14:paraId="173364D4" w14:textId="77777777" w:rsidR="00862C22" w:rsidRDefault="00862C22" w:rsidP="000E15B7">
      <w:pPr>
        <w:jc w:val="both"/>
        <w:rPr>
          <w:b/>
          <w:bCs/>
          <w:color w:val="709FDB" w:themeColor="text2" w:themeTint="80"/>
        </w:rPr>
      </w:pPr>
    </w:p>
    <w:p w14:paraId="7C207678" w14:textId="0BAA16A5" w:rsidR="000E15B7" w:rsidRPr="00EC5748" w:rsidRDefault="000E15B7" w:rsidP="000E15B7">
      <w:pPr>
        <w:jc w:val="both"/>
        <w:rPr>
          <w:b/>
          <w:bCs/>
          <w:color w:val="709FDB" w:themeColor="text2" w:themeTint="80"/>
        </w:rPr>
      </w:pPr>
      <w:r w:rsidRPr="00EC5748">
        <w:rPr>
          <w:b/>
          <w:bCs/>
          <w:color w:val="709FDB" w:themeColor="text2" w:themeTint="80"/>
        </w:rPr>
        <w:lastRenderedPageBreak/>
        <w:t>- Vigne -</w:t>
      </w:r>
    </w:p>
    <w:tbl>
      <w:tblPr>
        <w:tblW w:w="9781" w:type="dxa"/>
        <w:tblInd w:w="-572" w:type="dxa"/>
        <w:tblCellMar>
          <w:left w:w="70" w:type="dxa"/>
          <w:right w:w="70" w:type="dxa"/>
        </w:tblCellMar>
        <w:tblLook w:val="04A0" w:firstRow="1" w:lastRow="0" w:firstColumn="1" w:lastColumn="0" w:noHBand="0" w:noVBand="1"/>
      </w:tblPr>
      <w:tblGrid>
        <w:gridCol w:w="1936"/>
        <w:gridCol w:w="1241"/>
        <w:gridCol w:w="764"/>
        <w:gridCol w:w="607"/>
        <w:gridCol w:w="1302"/>
        <w:gridCol w:w="1879"/>
        <w:gridCol w:w="2052"/>
      </w:tblGrid>
      <w:tr w:rsidR="000E15B7" w:rsidRPr="00EC5748" w14:paraId="3E3D8835" w14:textId="77777777" w:rsidTr="00EC5748">
        <w:trPr>
          <w:trHeight w:val="864"/>
        </w:trPr>
        <w:tc>
          <w:tcPr>
            <w:tcW w:w="1975"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46DC6D8" w14:textId="77777777" w:rsidR="000E15B7" w:rsidRPr="00EC5748" w:rsidRDefault="000E15B7" w:rsidP="00EC5748">
            <w:pPr>
              <w:jc w:val="center"/>
              <w:rPr>
                <w:rFonts w:eastAsia="Times New Roman"/>
                <w:b/>
                <w:bCs/>
                <w:lang w:eastAsia="fr-CA"/>
              </w:rPr>
            </w:pPr>
            <w:r w:rsidRPr="00EC5748">
              <w:rPr>
                <w:rFonts w:eastAsia="Times New Roman"/>
                <w:b/>
                <w:bCs/>
                <w:lang w:eastAsia="fr-CA"/>
              </w:rPr>
              <w:t>Champignon</w:t>
            </w:r>
          </w:p>
        </w:tc>
        <w:tc>
          <w:tcPr>
            <w:tcW w:w="1067"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0271F9A8" w14:textId="77777777" w:rsidR="000E15B7" w:rsidRPr="00EC5748" w:rsidRDefault="000E15B7" w:rsidP="00EC5748">
            <w:pPr>
              <w:jc w:val="center"/>
              <w:rPr>
                <w:rFonts w:eastAsia="Times New Roman"/>
                <w:b/>
                <w:bCs/>
                <w:lang w:eastAsia="fr-CA"/>
              </w:rPr>
            </w:pPr>
            <w:r w:rsidRPr="00EC5748">
              <w:rPr>
                <w:rFonts w:eastAsia="Times New Roman"/>
                <w:b/>
                <w:bCs/>
                <w:lang w:eastAsia="fr-CA"/>
              </w:rPr>
              <w:t>Groupe(s) de fongicides FRAC</w:t>
            </w:r>
          </w:p>
        </w:tc>
        <w:tc>
          <w:tcPr>
            <w:tcW w:w="1405" w:type="dxa"/>
            <w:gridSpan w:val="2"/>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69834372" w14:textId="77777777" w:rsidR="000E15B7" w:rsidRPr="00EC5748" w:rsidRDefault="000E15B7" w:rsidP="00EC5748">
            <w:pPr>
              <w:jc w:val="center"/>
              <w:rPr>
                <w:rFonts w:eastAsia="Times New Roman"/>
                <w:b/>
                <w:bCs/>
                <w:lang w:eastAsia="fr-CA"/>
              </w:rPr>
            </w:pPr>
            <w:r w:rsidRPr="00EC5748">
              <w:rPr>
                <w:rFonts w:eastAsia="Times New Roman"/>
                <w:b/>
                <w:bCs/>
                <w:lang w:eastAsia="fr-CA"/>
              </w:rPr>
              <w:t>Nombre de souches testées</w:t>
            </w:r>
          </w:p>
        </w:tc>
        <w:tc>
          <w:tcPr>
            <w:tcW w:w="1272"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6BBF6D11" w14:textId="77777777" w:rsidR="000E15B7" w:rsidRPr="00EC5748" w:rsidRDefault="000E15B7" w:rsidP="00EC5748">
            <w:pPr>
              <w:jc w:val="center"/>
              <w:rPr>
                <w:rFonts w:eastAsia="Times New Roman"/>
                <w:b/>
                <w:bCs/>
                <w:lang w:eastAsia="fr-CA"/>
              </w:rPr>
            </w:pPr>
            <w:r w:rsidRPr="00EC5748">
              <w:rPr>
                <w:rFonts w:eastAsia="Times New Roman"/>
                <w:b/>
                <w:bCs/>
                <w:lang w:eastAsia="fr-CA"/>
              </w:rPr>
              <w:t>Nombre de souches résistantes</w:t>
            </w:r>
          </w:p>
        </w:tc>
        <w:tc>
          <w:tcPr>
            <w:tcW w:w="1936"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29C8114D" w14:textId="77777777" w:rsidR="000E15B7" w:rsidRPr="00EC5748" w:rsidRDefault="000E15B7" w:rsidP="00EC5748">
            <w:pPr>
              <w:jc w:val="center"/>
              <w:rPr>
                <w:rFonts w:eastAsia="Times New Roman"/>
                <w:b/>
                <w:bCs/>
                <w:lang w:eastAsia="fr-CA"/>
              </w:rPr>
            </w:pPr>
            <w:r w:rsidRPr="00EC5748">
              <w:rPr>
                <w:rFonts w:eastAsia="Times New Roman"/>
                <w:b/>
                <w:bCs/>
                <w:lang w:eastAsia="fr-CA"/>
              </w:rPr>
              <w:t>% des souches résistantes (groupe fongicide)</w:t>
            </w:r>
          </w:p>
        </w:tc>
        <w:tc>
          <w:tcPr>
            <w:tcW w:w="2126"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7B4C6EA4" w14:textId="77777777" w:rsidR="000E15B7" w:rsidRPr="00EC5748" w:rsidRDefault="000E15B7" w:rsidP="00EC5748">
            <w:pPr>
              <w:jc w:val="center"/>
              <w:rPr>
                <w:rFonts w:eastAsia="Times New Roman"/>
                <w:b/>
                <w:bCs/>
                <w:lang w:eastAsia="fr-CA"/>
              </w:rPr>
            </w:pPr>
            <w:r w:rsidRPr="00EC5748">
              <w:rPr>
                <w:rFonts w:eastAsia="Times New Roman"/>
                <w:b/>
                <w:bCs/>
                <w:lang w:eastAsia="fr-CA"/>
              </w:rPr>
              <w:t xml:space="preserve">% des souches résistantes à au moins un groupe de fongicide* </w:t>
            </w:r>
          </w:p>
        </w:tc>
      </w:tr>
      <w:tr w:rsidR="000E15B7" w:rsidRPr="00EC5748" w14:paraId="2C6183BD" w14:textId="77777777" w:rsidTr="00EC5748">
        <w:trPr>
          <w:trHeight w:val="288"/>
        </w:trPr>
        <w:tc>
          <w:tcPr>
            <w:tcW w:w="1975" w:type="dxa"/>
            <w:vMerge w:val="restart"/>
            <w:tcBorders>
              <w:top w:val="nil"/>
              <w:left w:val="single" w:sz="4" w:space="0" w:color="auto"/>
              <w:bottom w:val="single" w:sz="4" w:space="0" w:color="000000"/>
              <w:right w:val="nil"/>
            </w:tcBorders>
            <w:vAlign w:val="center"/>
            <w:hideMark/>
          </w:tcPr>
          <w:p w14:paraId="599F3231" w14:textId="77777777" w:rsidR="000E15B7" w:rsidRPr="00EC5748" w:rsidRDefault="000E15B7" w:rsidP="00EC5748">
            <w:pPr>
              <w:jc w:val="center"/>
              <w:rPr>
                <w:rFonts w:eastAsia="Times New Roman"/>
                <w:i/>
                <w:iCs/>
                <w:color w:val="000000"/>
                <w:lang w:eastAsia="fr-CA"/>
              </w:rPr>
            </w:pPr>
            <w:r w:rsidRPr="00EC5748">
              <w:rPr>
                <w:rFonts w:eastAsia="Times New Roman"/>
                <w:i/>
                <w:iCs/>
                <w:color w:val="000000"/>
                <w:lang w:eastAsia="fr-CA"/>
              </w:rPr>
              <w:t>Botrytis cinerea</w:t>
            </w:r>
          </w:p>
        </w:tc>
        <w:tc>
          <w:tcPr>
            <w:tcW w:w="1858" w:type="dxa"/>
            <w:gridSpan w:val="2"/>
            <w:tcBorders>
              <w:top w:val="nil"/>
              <w:left w:val="nil"/>
              <w:bottom w:val="single" w:sz="4" w:space="0" w:color="auto"/>
              <w:right w:val="nil"/>
            </w:tcBorders>
            <w:vAlign w:val="center"/>
            <w:hideMark/>
          </w:tcPr>
          <w:p w14:paraId="4B5572F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614" w:type="dxa"/>
            <w:tcBorders>
              <w:top w:val="nil"/>
              <w:left w:val="nil"/>
              <w:bottom w:val="single" w:sz="4" w:space="0" w:color="auto"/>
              <w:right w:val="nil"/>
            </w:tcBorders>
            <w:vAlign w:val="center"/>
            <w:hideMark/>
          </w:tcPr>
          <w:p w14:paraId="28276C0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52</w:t>
            </w:r>
          </w:p>
        </w:tc>
        <w:tc>
          <w:tcPr>
            <w:tcW w:w="1272" w:type="dxa"/>
            <w:tcBorders>
              <w:top w:val="nil"/>
              <w:left w:val="nil"/>
              <w:bottom w:val="single" w:sz="4" w:space="0" w:color="auto"/>
              <w:right w:val="nil"/>
            </w:tcBorders>
            <w:vAlign w:val="center"/>
            <w:hideMark/>
          </w:tcPr>
          <w:p w14:paraId="0B6838A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16</w:t>
            </w:r>
          </w:p>
        </w:tc>
        <w:tc>
          <w:tcPr>
            <w:tcW w:w="1936" w:type="dxa"/>
            <w:tcBorders>
              <w:top w:val="nil"/>
              <w:left w:val="nil"/>
              <w:bottom w:val="single" w:sz="4" w:space="0" w:color="auto"/>
              <w:right w:val="nil"/>
            </w:tcBorders>
            <w:vAlign w:val="center"/>
            <w:hideMark/>
          </w:tcPr>
          <w:p w14:paraId="385194D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30,8</w:t>
            </w:r>
          </w:p>
        </w:tc>
        <w:tc>
          <w:tcPr>
            <w:tcW w:w="2126" w:type="dxa"/>
            <w:vMerge w:val="restart"/>
            <w:tcBorders>
              <w:top w:val="nil"/>
              <w:left w:val="nil"/>
              <w:bottom w:val="nil"/>
              <w:right w:val="single" w:sz="4" w:space="0" w:color="auto"/>
            </w:tcBorders>
            <w:vAlign w:val="center"/>
            <w:hideMark/>
          </w:tcPr>
          <w:p w14:paraId="2CC8BF5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67,3</w:t>
            </w:r>
          </w:p>
        </w:tc>
      </w:tr>
      <w:tr w:rsidR="000E15B7" w:rsidRPr="00EC5748" w14:paraId="55BEADDB" w14:textId="77777777" w:rsidTr="00EC5748">
        <w:trPr>
          <w:trHeight w:val="288"/>
        </w:trPr>
        <w:tc>
          <w:tcPr>
            <w:tcW w:w="1975" w:type="dxa"/>
            <w:vMerge/>
            <w:tcBorders>
              <w:top w:val="nil"/>
              <w:left w:val="single" w:sz="4" w:space="0" w:color="auto"/>
              <w:bottom w:val="single" w:sz="4" w:space="0" w:color="000000"/>
              <w:right w:val="nil"/>
            </w:tcBorders>
            <w:vAlign w:val="center"/>
            <w:hideMark/>
          </w:tcPr>
          <w:p w14:paraId="3407AB4C" w14:textId="77777777" w:rsidR="000E15B7" w:rsidRPr="00EC5748" w:rsidRDefault="000E15B7" w:rsidP="00EC5748">
            <w:pPr>
              <w:rPr>
                <w:rFonts w:eastAsia="Times New Roman"/>
                <w:i/>
                <w:iCs/>
                <w:color w:val="000000"/>
                <w:lang w:eastAsia="fr-CA"/>
              </w:rPr>
            </w:pPr>
          </w:p>
        </w:tc>
        <w:tc>
          <w:tcPr>
            <w:tcW w:w="1858" w:type="dxa"/>
            <w:gridSpan w:val="2"/>
            <w:tcBorders>
              <w:top w:val="nil"/>
              <w:left w:val="nil"/>
              <w:bottom w:val="single" w:sz="4" w:space="0" w:color="auto"/>
              <w:right w:val="nil"/>
            </w:tcBorders>
            <w:vAlign w:val="center"/>
            <w:hideMark/>
          </w:tcPr>
          <w:p w14:paraId="254360F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614" w:type="dxa"/>
            <w:tcBorders>
              <w:top w:val="nil"/>
              <w:left w:val="nil"/>
              <w:bottom w:val="single" w:sz="4" w:space="0" w:color="auto"/>
              <w:right w:val="nil"/>
            </w:tcBorders>
            <w:vAlign w:val="center"/>
            <w:hideMark/>
          </w:tcPr>
          <w:p w14:paraId="24EAF1B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51</w:t>
            </w:r>
          </w:p>
        </w:tc>
        <w:tc>
          <w:tcPr>
            <w:tcW w:w="1272" w:type="dxa"/>
            <w:tcBorders>
              <w:top w:val="nil"/>
              <w:left w:val="nil"/>
              <w:bottom w:val="single" w:sz="4" w:space="0" w:color="auto"/>
              <w:right w:val="nil"/>
            </w:tcBorders>
            <w:vAlign w:val="center"/>
            <w:hideMark/>
          </w:tcPr>
          <w:p w14:paraId="6446DB9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30</w:t>
            </w:r>
          </w:p>
        </w:tc>
        <w:tc>
          <w:tcPr>
            <w:tcW w:w="1936" w:type="dxa"/>
            <w:tcBorders>
              <w:top w:val="nil"/>
              <w:left w:val="nil"/>
              <w:bottom w:val="single" w:sz="4" w:space="0" w:color="auto"/>
              <w:right w:val="nil"/>
            </w:tcBorders>
            <w:vAlign w:val="center"/>
            <w:hideMark/>
          </w:tcPr>
          <w:p w14:paraId="0D63AE0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58,8</w:t>
            </w:r>
          </w:p>
        </w:tc>
        <w:tc>
          <w:tcPr>
            <w:tcW w:w="2126" w:type="dxa"/>
            <w:vMerge/>
            <w:tcBorders>
              <w:top w:val="nil"/>
              <w:left w:val="nil"/>
              <w:bottom w:val="nil"/>
              <w:right w:val="single" w:sz="4" w:space="0" w:color="auto"/>
            </w:tcBorders>
            <w:vAlign w:val="center"/>
            <w:hideMark/>
          </w:tcPr>
          <w:p w14:paraId="441787B9" w14:textId="77777777" w:rsidR="000E15B7" w:rsidRPr="00EC5748" w:rsidRDefault="000E15B7" w:rsidP="00EC5748">
            <w:pPr>
              <w:rPr>
                <w:rFonts w:eastAsia="Times New Roman"/>
                <w:color w:val="000000"/>
                <w:lang w:eastAsia="fr-CA"/>
              </w:rPr>
            </w:pPr>
          </w:p>
        </w:tc>
      </w:tr>
      <w:tr w:rsidR="000E15B7" w:rsidRPr="00EC5748" w14:paraId="76D71941" w14:textId="77777777" w:rsidTr="00EC5748">
        <w:trPr>
          <w:trHeight w:val="288"/>
        </w:trPr>
        <w:tc>
          <w:tcPr>
            <w:tcW w:w="1975" w:type="dxa"/>
            <w:vMerge/>
            <w:tcBorders>
              <w:top w:val="nil"/>
              <w:left w:val="single" w:sz="4" w:space="0" w:color="auto"/>
              <w:bottom w:val="single" w:sz="4" w:space="0" w:color="000000"/>
              <w:right w:val="nil"/>
            </w:tcBorders>
            <w:vAlign w:val="center"/>
            <w:hideMark/>
          </w:tcPr>
          <w:p w14:paraId="0F2088BF" w14:textId="77777777" w:rsidR="000E15B7" w:rsidRPr="00EC5748" w:rsidRDefault="000E15B7" w:rsidP="00EC5748">
            <w:pPr>
              <w:rPr>
                <w:rFonts w:eastAsia="Times New Roman"/>
                <w:i/>
                <w:iCs/>
                <w:color w:val="000000"/>
                <w:lang w:eastAsia="fr-CA"/>
              </w:rPr>
            </w:pPr>
          </w:p>
        </w:tc>
        <w:tc>
          <w:tcPr>
            <w:tcW w:w="1858" w:type="dxa"/>
            <w:gridSpan w:val="2"/>
            <w:tcBorders>
              <w:top w:val="nil"/>
              <w:left w:val="nil"/>
              <w:bottom w:val="single" w:sz="4" w:space="0" w:color="auto"/>
              <w:right w:val="nil"/>
            </w:tcBorders>
            <w:vAlign w:val="center"/>
            <w:hideMark/>
          </w:tcPr>
          <w:p w14:paraId="6E2AC73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614" w:type="dxa"/>
            <w:tcBorders>
              <w:top w:val="nil"/>
              <w:left w:val="nil"/>
              <w:bottom w:val="single" w:sz="4" w:space="0" w:color="auto"/>
              <w:right w:val="nil"/>
            </w:tcBorders>
            <w:vAlign w:val="center"/>
            <w:hideMark/>
          </w:tcPr>
          <w:p w14:paraId="7A29CC9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52</w:t>
            </w:r>
          </w:p>
        </w:tc>
        <w:tc>
          <w:tcPr>
            <w:tcW w:w="1272" w:type="dxa"/>
            <w:tcBorders>
              <w:top w:val="nil"/>
              <w:left w:val="nil"/>
              <w:bottom w:val="single" w:sz="4" w:space="0" w:color="auto"/>
              <w:right w:val="nil"/>
            </w:tcBorders>
            <w:vAlign w:val="center"/>
            <w:hideMark/>
          </w:tcPr>
          <w:p w14:paraId="309BAD6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34</w:t>
            </w:r>
          </w:p>
        </w:tc>
        <w:tc>
          <w:tcPr>
            <w:tcW w:w="1936" w:type="dxa"/>
            <w:tcBorders>
              <w:top w:val="nil"/>
              <w:left w:val="nil"/>
              <w:bottom w:val="single" w:sz="4" w:space="0" w:color="auto"/>
              <w:right w:val="nil"/>
            </w:tcBorders>
            <w:vAlign w:val="center"/>
            <w:hideMark/>
          </w:tcPr>
          <w:p w14:paraId="5F591B5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65,4</w:t>
            </w:r>
          </w:p>
        </w:tc>
        <w:tc>
          <w:tcPr>
            <w:tcW w:w="2126" w:type="dxa"/>
            <w:vMerge/>
            <w:tcBorders>
              <w:top w:val="nil"/>
              <w:left w:val="nil"/>
              <w:bottom w:val="nil"/>
              <w:right w:val="single" w:sz="4" w:space="0" w:color="auto"/>
            </w:tcBorders>
            <w:vAlign w:val="center"/>
            <w:hideMark/>
          </w:tcPr>
          <w:p w14:paraId="7879E1C4" w14:textId="77777777" w:rsidR="000E15B7" w:rsidRPr="00EC5748" w:rsidRDefault="000E15B7" w:rsidP="00EC5748">
            <w:pPr>
              <w:rPr>
                <w:rFonts w:eastAsia="Times New Roman"/>
                <w:color w:val="000000"/>
                <w:lang w:eastAsia="fr-CA"/>
              </w:rPr>
            </w:pPr>
          </w:p>
        </w:tc>
      </w:tr>
      <w:tr w:rsidR="000E15B7" w:rsidRPr="00EC5748" w14:paraId="4A423E3A" w14:textId="77777777" w:rsidTr="00C62E60">
        <w:trPr>
          <w:trHeight w:val="288"/>
        </w:trPr>
        <w:tc>
          <w:tcPr>
            <w:tcW w:w="1975" w:type="dxa"/>
            <w:vMerge/>
            <w:tcBorders>
              <w:top w:val="nil"/>
              <w:left w:val="single" w:sz="4" w:space="0" w:color="auto"/>
              <w:bottom w:val="single" w:sz="4" w:space="0" w:color="000000"/>
              <w:right w:val="nil"/>
            </w:tcBorders>
            <w:vAlign w:val="center"/>
            <w:hideMark/>
          </w:tcPr>
          <w:p w14:paraId="34F0D8F6" w14:textId="77777777" w:rsidR="000E15B7" w:rsidRPr="00EC5748" w:rsidRDefault="000E15B7" w:rsidP="00EC5748">
            <w:pPr>
              <w:rPr>
                <w:rFonts w:eastAsia="Times New Roman"/>
                <w:i/>
                <w:iCs/>
                <w:color w:val="000000"/>
                <w:lang w:eastAsia="fr-CA"/>
              </w:rPr>
            </w:pPr>
          </w:p>
        </w:tc>
        <w:tc>
          <w:tcPr>
            <w:tcW w:w="1858" w:type="dxa"/>
            <w:gridSpan w:val="2"/>
            <w:tcBorders>
              <w:top w:val="nil"/>
              <w:left w:val="nil"/>
              <w:bottom w:val="single" w:sz="4" w:space="0" w:color="auto"/>
              <w:right w:val="nil"/>
            </w:tcBorders>
            <w:vAlign w:val="center"/>
            <w:hideMark/>
          </w:tcPr>
          <w:p w14:paraId="16C0231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614" w:type="dxa"/>
            <w:tcBorders>
              <w:top w:val="nil"/>
              <w:left w:val="nil"/>
              <w:bottom w:val="single" w:sz="4" w:space="0" w:color="auto"/>
              <w:right w:val="nil"/>
            </w:tcBorders>
            <w:vAlign w:val="center"/>
            <w:hideMark/>
          </w:tcPr>
          <w:p w14:paraId="640E2AE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52</w:t>
            </w:r>
          </w:p>
        </w:tc>
        <w:tc>
          <w:tcPr>
            <w:tcW w:w="1272" w:type="dxa"/>
            <w:tcBorders>
              <w:top w:val="nil"/>
              <w:left w:val="nil"/>
              <w:bottom w:val="single" w:sz="4" w:space="0" w:color="auto"/>
              <w:right w:val="nil"/>
            </w:tcBorders>
            <w:vAlign w:val="center"/>
            <w:hideMark/>
          </w:tcPr>
          <w:p w14:paraId="0E8FBC3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936" w:type="dxa"/>
            <w:tcBorders>
              <w:top w:val="nil"/>
              <w:left w:val="nil"/>
              <w:bottom w:val="single" w:sz="4" w:space="0" w:color="auto"/>
              <w:right w:val="nil"/>
            </w:tcBorders>
            <w:vAlign w:val="center"/>
            <w:hideMark/>
          </w:tcPr>
          <w:p w14:paraId="3B33CEC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1,9</w:t>
            </w:r>
          </w:p>
        </w:tc>
        <w:tc>
          <w:tcPr>
            <w:tcW w:w="2126" w:type="dxa"/>
            <w:vMerge/>
            <w:tcBorders>
              <w:top w:val="nil"/>
              <w:left w:val="nil"/>
              <w:bottom w:val="single" w:sz="4" w:space="0" w:color="auto"/>
              <w:right w:val="single" w:sz="4" w:space="0" w:color="auto"/>
            </w:tcBorders>
            <w:vAlign w:val="center"/>
            <w:hideMark/>
          </w:tcPr>
          <w:p w14:paraId="4D90E231" w14:textId="77777777" w:rsidR="000E15B7" w:rsidRPr="00EC5748" w:rsidRDefault="000E15B7" w:rsidP="00EC5748">
            <w:pPr>
              <w:rPr>
                <w:rFonts w:eastAsia="Times New Roman"/>
                <w:color w:val="000000"/>
                <w:lang w:eastAsia="fr-CA"/>
              </w:rPr>
            </w:pPr>
          </w:p>
        </w:tc>
      </w:tr>
      <w:tr w:rsidR="000E15B7" w:rsidRPr="00EC5748" w14:paraId="00C4F480" w14:textId="77777777" w:rsidTr="00422E71">
        <w:trPr>
          <w:trHeight w:val="288"/>
        </w:trPr>
        <w:tc>
          <w:tcPr>
            <w:tcW w:w="1975" w:type="dxa"/>
            <w:vMerge/>
            <w:tcBorders>
              <w:top w:val="nil"/>
              <w:left w:val="single" w:sz="4" w:space="0" w:color="auto"/>
              <w:bottom w:val="single" w:sz="4" w:space="0" w:color="000000"/>
              <w:right w:val="nil"/>
            </w:tcBorders>
            <w:vAlign w:val="center"/>
            <w:hideMark/>
          </w:tcPr>
          <w:p w14:paraId="6A5A1B66" w14:textId="77777777" w:rsidR="000E15B7" w:rsidRPr="00EC5748" w:rsidRDefault="000E15B7" w:rsidP="00EC5748">
            <w:pPr>
              <w:rPr>
                <w:rFonts w:eastAsia="Times New Roman"/>
                <w:i/>
                <w:iCs/>
                <w:color w:val="000000"/>
                <w:lang w:eastAsia="fr-CA"/>
              </w:rPr>
            </w:pPr>
          </w:p>
        </w:tc>
        <w:tc>
          <w:tcPr>
            <w:tcW w:w="1858" w:type="dxa"/>
            <w:gridSpan w:val="2"/>
            <w:tcBorders>
              <w:top w:val="nil"/>
              <w:left w:val="nil"/>
              <w:bottom w:val="single" w:sz="4" w:space="0" w:color="auto"/>
              <w:right w:val="nil"/>
            </w:tcBorders>
            <w:vAlign w:val="center"/>
            <w:hideMark/>
          </w:tcPr>
          <w:p w14:paraId="1DD9FA3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614" w:type="dxa"/>
            <w:tcBorders>
              <w:top w:val="nil"/>
              <w:left w:val="nil"/>
              <w:bottom w:val="single" w:sz="4" w:space="0" w:color="auto"/>
              <w:right w:val="nil"/>
            </w:tcBorders>
            <w:vAlign w:val="center"/>
            <w:hideMark/>
          </w:tcPr>
          <w:p w14:paraId="4E60C18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52</w:t>
            </w:r>
          </w:p>
        </w:tc>
        <w:tc>
          <w:tcPr>
            <w:tcW w:w="1272" w:type="dxa"/>
            <w:tcBorders>
              <w:top w:val="nil"/>
              <w:left w:val="nil"/>
              <w:bottom w:val="single" w:sz="4" w:space="0" w:color="auto"/>
              <w:right w:val="nil"/>
            </w:tcBorders>
            <w:vAlign w:val="center"/>
            <w:hideMark/>
          </w:tcPr>
          <w:p w14:paraId="70EC748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936" w:type="dxa"/>
            <w:tcBorders>
              <w:top w:val="nil"/>
              <w:left w:val="nil"/>
              <w:bottom w:val="single" w:sz="4" w:space="0" w:color="auto"/>
              <w:right w:val="nil"/>
            </w:tcBorders>
            <w:vAlign w:val="center"/>
            <w:hideMark/>
          </w:tcPr>
          <w:p w14:paraId="3A3FA39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2126" w:type="dxa"/>
            <w:tcBorders>
              <w:top w:val="single" w:sz="4" w:space="0" w:color="auto"/>
              <w:left w:val="nil"/>
              <w:bottom w:val="single" w:sz="4" w:space="0" w:color="auto"/>
              <w:right w:val="single" w:sz="4" w:space="0" w:color="auto"/>
            </w:tcBorders>
            <w:vAlign w:val="center"/>
            <w:hideMark/>
          </w:tcPr>
          <w:p w14:paraId="36734FB0" w14:textId="57227C82" w:rsidR="000E15B7" w:rsidRPr="00EC5748" w:rsidRDefault="000E15B7" w:rsidP="00EC5748">
            <w:pPr>
              <w:jc w:val="center"/>
              <w:rPr>
                <w:rFonts w:eastAsia="Times New Roman"/>
                <w:color w:val="000000"/>
                <w:lang w:eastAsia="fr-CA"/>
              </w:rPr>
            </w:pPr>
            <w:r w:rsidRPr="00EC5748">
              <w:rPr>
                <w:rFonts w:eastAsia="Times New Roman"/>
                <w:color w:val="000000"/>
                <w:lang w:eastAsia="fr-CA"/>
              </w:rPr>
              <w:t> </w:t>
            </w:r>
            <w:proofErr w:type="gramStart"/>
            <w:r w:rsidR="00862C22">
              <w:rPr>
                <w:rFonts w:eastAsia="Times New Roman"/>
                <w:color w:val="000000"/>
                <w:lang w:eastAsia="fr-CA"/>
              </w:rPr>
              <w:t>s</w:t>
            </w:r>
            <w:proofErr w:type="gramEnd"/>
            <w:r w:rsidR="00862C22">
              <w:rPr>
                <w:rFonts w:eastAsia="Times New Roman"/>
                <w:color w:val="000000"/>
                <w:lang w:eastAsia="fr-CA"/>
              </w:rPr>
              <w:t>/o</w:t>
            </w:r>
          </w:p>
        </w:tc>
      </w:tr>
      <w:tr w:rsidR="000E15B7" w:rsidRPr="00EC5748" w14:paraId="63815959" w14:textId="77777777" w:rsidTr="00EC5748">
        <w:trPr>
          <w:trHeight w:val="288"/>
        </w:trPr>
        <w:tc>
          <w:tcPr>
            <w:tcW w:w="1975" w:type="dxa"/>
            <w:vMerge w:val="restart"/>
            <w:tcBorders>
              <w:top w:val="nil"/>
              <w:left w:val="single" w:sz="4" w:space="0" w:color="auto"/>
              <w:bottom w:val="single" w:sz="4" w:space="0" w:color="000000"/>
              <w:right w:val="nil"/>
            </w:tcBorders>
            <w:vAlign w:val="center"/>
            <w:hideMark/>
          </w:tcPr>
          <w:p w14:paraId="1EE472A6" w14:textId="77777777" w:rsidR="000E15B7" w:rsidRPr="00EC5748" w:rsidRDefault="000E15B7" w:rsidP="00EC5748">
            <w:pPr>
              <w:jc w:val="center"/>
              <w:rPr>
                <w:rFonts w:eastAsia="Times New Roman"/>
                <w:i/>
                <w:iCs/>
                <w:color w:val="000000"/>
                <w:lang w:eastAsia="fr-CA"/>
              </w:rPr>
            </w:pPr>
            <w:proofErr w:type="spellStart"/>
            <w:r w:rsidRPr="00EC5748">
              <w:rPr>
                <w:rFonts w:eastAsia="Times New Roman"/>
                <w:i/>
                <w:iCs/>
                <w:color w:val="000000"/>
                <w:lang w:eastAsia="fr-CA"/>
              </w:rPr>
              <w:t>Colletotrichum</w:t>
            </w:r>
            <w:proofErr w:type="spellEnd"/>
            <w:r w:rsidRPr="00EC5748">
              <w:rPr>
                <w:rFonts w:eastAsia="Times New Roman"/>
                <w:i/>
                <w:iCs/>
                <w:color w:val="000000"/>
                <w:lang w:eastAsia="fr-CA"/>
              </w:rPr>
              <w:t xml:space="preserve"> </w:t>
            </w:r>
            <w:proofErr w:type="spellStart"/>
            <w:r w:rsidRPr="00422E71">
              <w:rPr>
                <w:rFonts w:eastAsia="Times New Roman"/>
                <w:color w:val="000000"/>
                <w:lang w:eastAsia="fr-CA"/>
              </w:rPr>
              <w:t>spp</w:t>
            </w:r>
            <w:proofErr w:type="spellEnd"/>
            <w:r w:rsidRPr="00422E71">
              <w:rPr>
                <w:rFonts w:eastAsia="Times New Roman"/>
                <w:color w:val="000000"/>
                <w:lang w:eastAsia="fr-CA"/>
              </w:rPr>
              <w:t>.</w:t>
            </w:r>
          </w:p>
        </w:tc>
        <w:tc>
          <w:tcPr>
            <w:tcW w:w="1858" w:type="dxa"/>
            <w:gridSpan w:val="2"/>
            <w:tcBorders>
              <w:top w:val="nil"/>
              <w:left w:val="nil"/>
              <w:bottom w:val="single" w:sz="4" w:space="0" w:color="auto"/>
              <w:right w:val="nil"/>
            </w:tcBorders>
            <w:vAlign w:val="center"/>
            <w:hideMark/>
          </w:tcPr>
          <w:p w14:paraId="3D0EFAD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614" w:type="dxa"/>
            <w:tcBorders>
              <w:top w:val="nil"/>
              <w:left w:val="nil"/>
              <w:bottom w:val="single" w:sz="4" w:space="0" w:color="auto"/>
              <w:right w:val="nil"/>
            </w:tcBorders>
            <w:vAlign w:val="center"/>
            <w:hideMark/>
          </w:tcPr>
          <w:p w14:paraId="02BAA3E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74</w:t>
            </w:r>
          </w:p>
        </w:tc>
        <w:tc>
          <w:tcPr>
            <w:tcW w:w="1272" w:type="dxa"/>
            <w:tcBorders>
              <w:top w:val="nil"/>
              <w:left w:val="nil"/>
              <w:bottom w:val="single" w:sz="4" w:space="0" w:color="auto"/>
              <w:right w:val="nil"/>
            </w:tcBorders>
            <w:vAlign w:val="center"/>
            <w:hideMark/>
          </w:tcPr>
          <w:p w14:paraId="4D2D915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74</w:t>
            </w:r>
          </w:p>
        </w:tc>
        <w:tc>
          <w:tcPr>
            <w:tcW w:w="1936" w:type="dxa"/>
            <w:tcBorders>
              <w:top w:val="nil"/>
              <w:left w:val="nil"/>
              <w:bottom w:val="single" w:sz="4" w:space="0" w:color="auto"/>
              <w:right w:val="nil"/>
            </w:tcBorders>
            <w:vAlign w:val="center"/>
            <w:hideMark/>
          </w:tcPr>
          <w:p w14:paraId="682E26C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2126" w:type="dxa"/>
            <w:vMerge w:val="restart"/>
            <w:tcBorders>
              <w:top w:val="nil"/>
              <w:left w:val="nil"/>
              <w:bottom w:val="nil"/>
              <w:right w:val="single" w:sz="4" w:space="0" w:color="auto"/>
            </w:tcBorders>
            <w:vAlign w:val="center"/>
            <w:hideMark/>
          </w:tcPr>
          <w:p w14:paraId="4D918AA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1,4</w:t>
            </w:r>
          </w:p>
        </w:tc>
      </w:tr>
      <w:tr w:rsidR="000E15B7" w:rsidRPr="00EC5748" w14:paraId="3A4361F3" w14:textId="77777777" w:rsidTr="00C62E60">
        <w:trPr>
          <w:trHeight w:val="288"/>
        </w:trPr>
        <w:tc>
          <w:tcPr>
            <w:tcW w:w="1975" w:type="dxa"/>
            <w:vMerge/>
            <w:tcBorders>
              <w:top w:val="nil"/>
              <w:left w:val="single" w:sz="4" w:space="0" w:color="auto"/>
              <w:bottom w:val="single" w:sz="4" w:space="0" w:color="000000"/>
              <w:right w:val="nil"/>
            </w:tcBorders>
            <w:vAlign w:val="center"/>
            <w:hideMark/>
          </w:tcPr>
          <w:p w14:paraId="744D9102" w14:textId="77777777" w:rsidR="000E15B7" w:rsidRPr="00EC5748" w:rsidRDefault="000E15B7" w:rsidP="00EC5748">
            <w:pPr>
              <w:rPr>
                <w:rFonts w:eastAsia="Times New Roman"/>
                <w:i/>
                <w:iCs/>
                <w:color w:val="000000"/>
                <w:lang w:eastAsia="fr-CA"/>
              </w:rPr>
            </w:pPr>
          </w:p>
        </w:tc>
        <w:tc>
          <w:tcPr>
            <w:tcW w:w="1858" w:type="dxa"/>
            <w:gridSpan w:val="2"/>
            <w:tcBorders>
              <w:top w:val="nil"/>
              <w:left w:val="nil"/>
              <w:bottom w:val="single" w:sz="4" w:space="0" w:color="auto"/>
              <w:right w:val="nil"/>
            </w:tcBorders>
            <w:vAlign w:val="center"/>
            <w:hideMark/>
          </w:tcPr>
          <w:p w14:paraId="5EC0E63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614" w:type="dxa"/>
            <w:tcBorders>
              <w:top w:val="nil"/>
              <w:left w:val="nil"/>
              <w:bottom w:val="single" w:sz="4" w:space="0" w:color="auto"/>
              <w:right w:val="nil"/>
            </w:tcBorders>
            <w:vAlign w:val="center"/>
            <w:hideMark/>
          </w:tcPr>
          <w:p w14:paraId="294CF32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74</w:t>
            </w:r>
          </w:p>
        </w:tc>
        <w:tc>
          <w:tcPr>
            <w:tcW w:w="1272" w:type="dxa"/>
            <w:tcBorders>
              <w:top w:val="nil"/>
              <w:left w:val="nil"/>
              <w:bottom w:val="single" w:sz="4" w:space="0" w:color="auto"/>
              <w:right w:val="nil"/>
            </w:tcBorders>
            <w:vAlign w:val="center"/>
            <w:hideMark/>
          </w:tcPr>
          <w:p w14:paraId="0818B58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936" w:type="dxa"/>
            <w:tcBorders>
              <w:top w:val="nil"/>
              <w:left w:val="nil"/>
              <w:bottom w:val="single" w:sz="4" w:space="0" w:color="auto"/>
              <w:right w:val="nil"/>
            </w:tcBorders>
            <w:vAlign w:val="center"/>
            <w:hideMark/>
          </w:tcPr>
          <w:p w14:paraId="36F7A7E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1,4</w:t>
            </w:r>
          </w:p>
        </w:tc>
        <w:tc>
          <w:tcPr>
            <w:tcW w:w="2126" w:type="dxa"/>
            <w:vMerge/>
            <w:tcBorders>
              <w:top w:val="nil"/>
              <w:left w:val="nil"/>
              <w:bottom w:val="single" w:sz="4" w:space="0" w:color="auto"/>
              <w:right w:val="single" w:sz="4" w:space="0" w:color="auto"/>
            </w:tcBorders>
            <w:vAlign w:val="center"/>
            <w:hideMark/>
          </w:tcPr>
          <w:p w14:paraId="55F1D9F5" w14:textId="77777777" w:rsidR="000E15B7" w:rsidRPr="00EC5748" w:rsidRDefault="000E15B7" w:rsidP="00EC5748">
            <w:pPr>
              <w:rPr>
                <w:rFonts w:eastAsia="Times New Roman"/>
                <w:color w:val="000000"/>
                <w:lang w:eastAsia="fr-CA"/>
              </w:rPr>
            </w:pPr>
          </w:p>
        </w:tc>
      </w:tr>
      <w:tr w:rsidR="000E15B7" w:rsidRPr="00EC5748" w14:paraId="32B61020" w14:textId="77777777" w:rsidTr="00422E71">
        <w:trPr>
          <w:trHeight w:val="288"/>
        </w:trPr>
        <w:tc>
          <w:tcPr>
            <w:tcW w:w="1975" w:type="dxa"/>
            <w:vMerge/>
            <w:tcBorders>
              <w:top w:val="nil"/>
              <w:left w:val="single" w:sz="4" w:space="0" w:color="auto"/>
              <w:bottom w:val="single" w:sz="4" w:space="0" w:color="auto"/>
              <w:right w:val="nil"/>
            </w:tcBorders>
            <w:vAlign w:val="center"/>
            <w:hideMark/>
          </w:tcPr>
          <w:p w14:paraId="461167DE" w14:textId="77777777" w:rsidR="000E15B7" w:rsidRPr="00EC5748" w:rsidRDefault="000E15B7" w:rsidP="00EC5748">
            <w:pPr>
              <w:rPr>
                <w:rFonts w:eastAsia="Times New Roman"/>
                <w:i/>
                <w:iCs/>
                <w:color w:val="000000"/>
                <w:lang w:eastAsia="fr-CA"/>
              </w:rPr>
            </w:pPr>
          </w:p>
        </w:tc>
        <w:tc>
          <w:tcPr>
            <w:tcW w:w="1858" w:type="dxa"/>
            <w:gridSpan w:val="2"/>
            <w:tcBorders>
              <w:top w:val="nil"/>
              <w:left w:val="nil"/>
              <w:bottom w:val="single" w:sz="4" w:space="0" w:color="auto"/>
              <w:right w:val="nil"/>
            </w:tcBorders>
            <w:vAlign w:val="center"/>
            <w:hideMark/>
          </w:tcPr>
          <w:p w14:paraId="24CA792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614" w:type="dxa"/>
            <w:tcBorders>
              <w:top w:val="nil"/>
              <w:left w:val="nil"/>
              <w:bottom w:val="single" w:sz="4" w:space="0" w:color="auto"/>
              <w:right w:val="nil"/>
            </w:tcBorders>
            <w:vAlign w:val="center"/>
            <w:hideMark/>
          </w:tcPr>
          <w:p w14:paraId="0696AE4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74</w:t>
            </w:r>
          </w:p>
        </w:tc>
        <w:tc>
          <w:tcPr>
            <w:tcW w:w="1272" w:type="dxa"/>
            <w:tcBorders>
              <w:top w:val="nil"/>
              <w:left w:val="nil"/>
              <w:bottom w:val="single" w:sz="4" w:space="0" w:color="auto"/>
              <w:right w:val="nil"/>
            </w:tcBorders>
            <w:vAlign w:val="center"/>
            <w:hideMark/>
          </w:tcPr>
          <w:p w14:paraId="5DA89CD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936" w:type="dxa"/>
            <w:tcBorders>
              <w:top w:val="nil"/>
              <w:left w:val="nil"/>
              <w:bottom w:val="single" w:sz="4" w:space="0" w:color="auto"/>
              <w:right w:val="nil"/>
            </w:tcBorders>
            <w:vAlign w:val="center"/>
            <w:hideMark/>
          </w:tcPr>
          <w:p w14:paraId="289646D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1,4</w:t>
            </w:r>
          </w:p>
        </w:tc>
        <w:tc>
          <w:tcPr>
            <w:tcW w:w="2126" w:type="dxa"/>
            <w:tcBorders>
              <w:top w:val="single" w:sz="4" w:space="0" w:color="auto"/>
              <w:left w:val="nil"/>
              <w:bottom w:val="single" w:sz="4" w:space="0" w:color="auto"/>
              <w:right w:val="single" w:sz="4" w:space="0" w:color="auto"/>
            </w:tcBorders>
            <w:vAlign w:val="center"/>
            <w:hideMark/>
          </w:tcPr>
          <w:p w14:paraId="2828724F" w14:textId="61E65EB8" w:rsidR="000E15B7" w:rsidRPr="00EC5748" w:rsidRDefault="00862C22" w:rsidP="00EC5748">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bl>
    <w:p w14:paraId="0D9563C9" w14:textId="77777777" w:rsidR="000E15B7" w:rsidRPr="00EC5748" w:rsidRDefault="000E15B7" w:rsidP="000E15B7">
      <w:pPr>
        <w:jc w:val="both"/>
        <w:rPr>
          <w:sz w:val="20"/>
          <w:szCs w:val="20"/>
        </w:rPr>
      </w:pPr>
      <w:r w:rsidRPr="00EC5748">
        <w:rPr>
          <w:sz w:val="20"/>
          <w:szCs w:val="20"/>
        </w:rPr>
        <w:t xml:space="preserve">* Dans le cadre de </w:t>
      </w:r>
      <w:proofErr w:type="spellStart"/>
      <w:r w:rsidRPr="00EC5748">
        <w:rPr>
          <w:i/>
          <w:iCs/>
          <w:sz w:val="20"/>
          <w:szCs w:val="20"/>
        </w:rPr>
        <w:t>Colletotrichum</w:t>
      </w:r>
      <w:proofErr w:type="spellEnd"/>
      <w:r w:rsidRPr="00EC5748">
        <w:rPr>
          <w:i/>
          <w:iCs/>
          <w:sz w:val="20"/>
          <w:szCs w:val="20"/>
        </w:rPr>
        <w:t xml:space="preserve"> </w:t>
      </w:r>
      <w:proofErr w:type="spellStart"/>
      <w:r w:rsidRPr="00EC5748">
        <w:rPr>
          <w:sz w:val="20"/>
          <w:szCs w:val="20"/>
        </w:rPr>
        <w:t>spp</w:t>
      </w:r>
      <w:proofErr w:type="spellEnd"/>
      <w:r w:rsidRPr="00EC5748">
        <w:rPr>
          <w:sz w:val="20"/>
          <w:szCs w:val="20"/>
        </w:rPr>
        <w:t>., seul le pourcentage des souches résistantes aux fongicides du groupe 11 est rapporté. Ce champignon est insensible aux fongicides du groupe 7.</w:t>
      </w:r>
    </w:p>
    <w:p w14:paraId="3721C66D" w14:textId="77777777" w:rsidR="000E15B7" w:rsidRPr="00EC5748" w:rsidRDefault="000E15B7" w:rsidP="000E15B7">
      <w:pPr>
        <w:jc w:val="both"/>
        <w:rPr>
          <w:b/>
          <w:bCs/>
        </w:rPr>
      </w:pPr>
    </w:p>
    <w:p w14:paraId="246D6FFB" w14:textId="77777777" w:rsidR="000E15B7" w:rsidRPr="00EC5748" w:rsidRDefault="000E15B7" w:rsidP="000E15B7"/>
    <w:p w14:paraId="4738947E" w14:textId="77777777" w:rsidR="00C62E60" w:rsidRDefault="00C62E60">
      <w:pPr>
        <w:rPr>
          <w:b/>
          <w:bCs/>
          <w:u w:val="single"/>
        </w:rPr>
      </w:pPr>
      <w:r>
        <w:rPr>
          <w:b/>
          <w:bCs/>
          <w:u w:val="single"/>
        </w:rPr>
        <w:br w:type="page"/>
      </w:r>
    </w:p>
    <w:p w14:paraId="156DC395" w14:textId="3A78CC0B" w:rsidR="000E15B7" w:rsidRPr="00EC5748" w:rsidRDefault="000E15B7" w:rsidP="000E15B7">
      <w:pPr>
        <w:jc w:val="both"/>
        <w:rPr>
          <w:b/>
          <w:bCs/>
          <w:u w:val="single"/>
        </w:rPr>
      </w:pPr>
      <w:r w:rsidRPr="00EC5748">
        <w:rPr>
          <w:b/>
          <w:bCs/>
          <w:u w:val="single"/>
        </w:rPr>
        <w:lastRenderedPageBreak/>
        <w:t>ANNEXE 2</w:t>
      </w:r>
    </w:p>
    <w:p w14:paraId="2EF4E4FA" w14:textId="77777777" w:rsidR="000E15B7" w:rsidRPr="00EC5748" w:rsidRDefault="000E15B7" w:rsidP="000E15B7"/>
    <w:p w14:paraId="040106FE" w14:textId="77777777" w:rsidR="000E15B7" w:rsidRPr="00EC5748" w:rsidRDefault="000E15B7" w:rsidP="000E15B7">
      <w:pPr>
        <w:jc w:val="both"/>
      </w:pPr>
      <w:r w:rsidRPr="00EC5748">
        <w:t xml:space="preserve">Les tableaux suivants illustrent le nombre et le % de souches de champignons phytopathogènes confirmées résistantes au Québec (2023-2025), réparties selon le groupe de fongicides concerné et la région administrative d’où provient l’échantillon. </w:t>
      </w:r>
    </w:p>
    <w:p w14:paraId="3675EC48" w14:textId="77777777" w:rsidR="000E15B7" w:rsidRPr="00EC5748" w:rsidRDefault="000E15B7" w:rsidP="000E15B7">
      <w:pPr>
        <w:jc w:val="both"/>
      </w:pPr>
    </w:p>
    <w:p w14:paraId="64F64DDC" w14:textId="77777777" w:rsidR="000E15B7" w:rsidRPr="00EC5748" w:rsidRDefault="000E15B7" w:rsidP="000E15B7">
      <w:pPr>
        <w:jc w:val="both"/>
        <w:rPr>
          <w:b/>
          <w:bCs/>
        </w:rPr>
      </w:pPr>
      <w:r w:rsidRPr="00EC5748">
        <w:rPr>
          <w:b/>
          <w:bCs/>
          <w:color w:val="709FDB" w:themeColor="text2" w:themeTint="80"/>
        </w:rPr>
        <w:t>- Bleuetier en corymbe -</w:t>
      </w:r>
    </w:p>
    <w:tbl>
      <w:tblPr>
        <w:tblW w:w="11057" w:type="dxa"/>
        <w:tblInd w:w="-431" w:type="dxa"/>
        <w:tblCellMar>
          <w:left w:w="70" w:type="dxa"/>
          <w:right w:w="70" w:type="dxa"/>
        </w:tblCellMar>
        <w:tblLook w:val="04A0" w:firstRow="1" w:lastRow="0" w:firstColumn="1" w:lastColumn="0" w:noHBand="0" w:noVBand="1"/>
      </w:tblPr>
      <w:tblGrid>
        <w:gridCol w:w="1985"/>
        <w:gridCol w:w="1632"/>
        <w:gridCol w:w="1376"/>
        <w:gridCol w:w="1387"/>
        <w:gridCol w:w="1302"/>
        <w:gridCol w:w="1753"/>
        <w:gridCol w:w="1622"/>
      </w:tblGrid>
      <w:tr w:rsidR="000E15B7" w:rsidRPr="00EC5748" w14:paraId="06D210E0" w14:textId="77777777" w:rsidTr="004E323E">
        <w:trPr>
          <w:trHeight w:val="1152"/>
        </w:trPr>
        <w:tc>
          <w:tcPr>
            <w:tcW w:w="1985" w:type="dxa"/>
            <w:tcBorders>
              <w:top w:val="single" w:sz="4" w:space="0" w:color="auto"/>
              <w:left w:val="single" w:sz="4" w:space="0" w:color="auto"/>
              <w:bottom w:val="single" w:sz="4" w:space="0" w:color="auto"/>
              <w:right w:val="single" w:sz="4" w:space="0" w:color="auto"/>
            </w:tcBorders>
            <w:shd w:val="clear" w:color="auto" w:fill="E1EBF7" w:themeFill="text2" w:themeFillTint="1A"/>
            <w:noWrap/>
            <w:vAlign w:val="center"/>
            <w:hideMark/>
          </w:tcPr>
          <w:p w14:paraId="5815EA9B" w14:textId="77777777" w:rsidR="000E15B7" w:rsidRPr="00EC5748" w:rsidRDefault="000E15B7" w:rsidP="00EC5748">
            <w:pPr>
              <w:jc w:val="center"/>
              <w:rPr>
                <w:rFonts w:eastAsia="Times New Roman"/>
                <w:b/>
                <w:bCs/>
                <w:lang w:eastAsia="fr-CA"/>
              </w:rPr>
            </w:pPr>
            <w:r w:rsidRPr="00EC5748">
              <w:rPr>
                <w:rFonts w:eastAsia="Times New Roman"/>
                <w:b/>
                <w:bCs/>
                <w:lang w:eastAsia="fr-CA"/>
              </w:rPr>
              <w:t>Champignon</w:t>
            </w:r>
          </w:p>
        </w:tc>
        <w:tc>
          <w:tcPr>
            <w:tcW w:w="1632" w:type="dxa"/>
            <w:tcBorders>
              <w:top w:val="single" w:sz="4" w:space="0" w:color="auto"/>
              <w:left w:val="single" w:sz="4" w:space="0" w:color="auto"/>
              <w:bottom w:val="single" w:sz="4" w:space="0" w:color="auto"/>
              <w:right w:val="single" w:sz="4" w:space="0" w:color="auto"/>
            </w:tcBorders>
            <w:shd w:val="clear" w:color="auto" w:fill="E1EBF7" w:themeFill="text2" w:themeFillTint="1A"/>
            <w:noWrap/>
            <w:vAlign w:val="center"/>
            <w:hideMark/>
          </w:tcPr>
          <w:p w14:paraId="5BD6158C" w14:textId="77777777" w:rsidR="000E15B7" w:rsidRPr="00EC5748" w:rsidRDefault="000E15B7" w:rsidP="00EC5748">
            <w:pPr>
              <w:jc w:val="center"/>
              <w:rPr>
                <w:rFonts w:eastAsia="Times New Roman"/>
                <w:b/>
                <w:bCs/>
                <w:lang w:eastAsia="fr-CA"/>
              </w:rPr>
            </w:pPr>
            <w:r w:rsidRPr="00EC5748">
              <w:rPr>
                <w:rFonts w:eastAsia="Times New Roman"/>
                <w:b/>
                <w:bCs/>
                <w:lang w:eastAsia="fr-CA"/>
              </w:rPr>
              <w:t>Région administrative</w:t>
            </w:r>
          </w:p>
        </w:tc>
        <w:tc>
          <w:tcPr>
            <w:tcW w:w="1376"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3F058283" w14:textId="77777777" w:rsidR="000E15B7" w:rsidRPr="00EC5748" w:rsidRDefault="000E15B7" w:rsidP="00EC5748">
            <w:pPr>
              <w:jc w:val="center"/>
              <w:rPr>
                <w:rFonts w:eastAsia="Times New Roman"/>
                <w:b/>
                <w:bCs/>
                <w:lang w:eastAsia="fr-CA"/>
              </w:rPr>
            </w:pPr>
            <w:r w:rsidRPr="00EC5748">
              <w:rPr>
                <w:rFonts w:eastAsia="Times New Roman"/>
                <w:b/>
                <w:bCs/>
                <w:lang w:eastAsia="fr-CA"/>
              </w:rPr>
              <w:t>Groupe(s) de fongicides FRAC</w:t>
            </w:r>
          </w:p>
        </w:tc>
        <w:tc>
          <w:tcPr>
            <w:tcW w:w="1387"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516CAF95" w14:textId="77777777" w:rsidR="000E15B7" w:rsidRPr="00EC5748" w:rsidRDefault="000E15B7" w:rsidP="00EC5748">
            <w:pPr>
              <w:ind w:right="215"/>
              <w:jc w:val="center"/>
              <w:rPr>
                <w:rFonts w:eastAsia="Times New Roman"/>
                <w:b/>
                <w:bCs/>
                <w:lang w:eastAsia="fr-CA"/>
              </w:rPr>
            </w:pPr>
            <w:r w:rsidRPr="00EC5748">
              <w:rPr>
                <w:rFonts w:eastAsia="Times New Roman"/>
                <w:b/>
                <w:bCs/>
                <w:lang w:eastAsia="fr-CA"/>
              </w:rPr>
              <w:t>Nombre de souches testées</w:t>
            </w:r>
          </w:p>
        </w:tc>
        <w:tc>
          <w:tcPr>
            <w:tcW w:w="1302"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5198D8B8" w14:textId="77777777" w:rsidR="000E15B7" w:rsidRPr="00EC5748" w:rsidRDefault="000E15B7" w:rsidP="00EC5748">
            <w:pPr>
              <w:jc w:val="center"/>
              <w:rPr>
                <w:rFonts w:eastAsia="Times New Roman"/>
                <w:b/>
                <w:bCs/>
                <w:lang w:eastAsia="fr-CA"/>
              </w:rPr>
            </w:pPr>
            <w:r w:rsidRPr="00EC5748">
              <w:rPr>
                <w:rFonts w:eastAsia="Times New Roman"/>
                <w:b/>
                <w:bCs/>
                <w:lang w:eastAsia="fr-CA"/>
              </w:rPr>
              <w:t>Nombre de souches résistantes</w:t>
            </w:r>
          </w:p>
        </w:tc>
        <w:tc>
          <w:tcPr>
            <w:tcW w:w="1753"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6FBEF2C4" w14:textId="77777777" w:rsidR="000E15B7" w:rsidRPr="00EC5748" w:rsidRDefault="000E15B7" w:rsidP="00EC5748">
            <w:pPr>
              <w:jc w:val="center"/>
              <w:rPr>
                <w:rFonts w:eastAsia="Times New Roman"/>
                <w:b/>
                <w:bCs/>
                <w:lang w:eastAsia="fr-CA"/>
              </w:rPr>
            </w:pPr>
            <w:r w:rsidRPr="00EC5748">
              <w:rPr>
                <w:rFonts w:eastAsia="Times New Roman"/>
                <w:b/>
                <w:bCs/>
                <w:lang w:eastAsia="fr-CA"/>
              </w:rPr>
              <w:t>% des souches résistantes (groupe fongicide)</w:t>
            </w:r>
          </w:p>
        </w:tc>
        <w:tc>
          <w:tcPr>
            <w:tcW w:w="1622"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hideMark/>
          </w:tcPr>
          <w:p w14:paraId="0B7446F0" w14:textId="77777777" w:rsidR="000E15B7" w:rsidRPr="00EC5748" w:rsidRDefault="000E15B7" w:rsidP="00EC5748">
            <w:pPr>
              <w:jc w:val="center"/>
              <w:rPr>
                <w:rFonts w:eastAsia="Times New Roman"/>
                <w:b/>
                <w:bCs/>
                <w:lang w:eastAsia="fr-CA"/>
              </w:rPr>
            </w:pPr>
            <w:r w:rsidRPr="00EC5748">
              <w:rPr>
                <w:rFonts w:eastAsia="Times New Roman"/>
                <w:b/>
                <w:bCs/>
                <w:lang w:eastAsia="fr-CA"/>
              </w:rPr>
              <w:t>% des souches résistantes à au moins un groupe de fongicide (région)*</w:t>
            </w:r>
          </w:p>
        </w:tc>
      </w:tr>
      <w:tr w:rsidR="000E15B7" w:rsidRPr="00EC5748" w14:paraId="405B3C3C" w14:textId="77777777" w:rsidTr="004E323E">
        <w:trPr>
          <w:trHeight w:val="288"/>
        </w:trPr>
        <w:tc>
          <w:tcPr>
            <w:tcW w:w="1985" w:type="dxa"/>
            <w:vMerge w:val="restart"/>
            <w:tcBorders>
              <w:top w:val="single" w:sz="4" w:space="0" w:color="auto"/>
              <w:left w:val="single" w:sz="4" w:space="0" w:color="auto"/>
            </w:tcBorders>
            <w:vAlign w:val="center"/>
            <w:hideMark/>
          </w:tcPr>
          <w:p w14:paraId="43DE10E1" w14:textId="77777777" w:rsidR="000E15B7" w:rsidRPr="00EC5748" w:rsidRDefault="000E15B7" w:rsidP="00EC5748">
            <w:pPr>
              <w:jc w:val="center"/>
              <w:rPr>
                <w:rFonts w:eastAsia="Times New Roman"/>
                <w:i/>
                <w:iCs/>
                <w:color w:val="000000"/>
                <w:lang w:eastAsia="fr-CA"/>
              </w:rPr>
            </w:pPr>
            <w:r w:rsidRPr="00EC5748">
              <w:rPr>
                <w:rFonts w:eastAsia="Times New Roman"/>
                <w:i/>
                <w:iCs/>
                <w:color w:val="000000"/>
                <w:lang w:eastAsia="fr-CA"/>
              </w:rPr>
              <w:t>Botrytis cinerea</w:t>
            </w:r>
          </w:p>
        </w:tc>
        <w:tc>
          <w:tcPr>
            <w:tcW w:w="1632" w:type="dxa"/>
            <w:vMerge w:val="restart"/>
            <w:tcBorders>
              <w:top w:val="single" w:sz="4" w:space="0" w:color="auto"/>
              <w:bottom w:val="single" w:sz="4" w:space="0" w:color="auto"/>
            </w:tcBorders>
            <w:vAlign w:val="center"/>
            <w:hideMark/>
          </w:tcPr>
          <w:p w14:paraId="393A67B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Mauricie</w:t>
            </w:r>
          </w:p>
        </w:tc>
        <w:tc>
          <w:tcPr>
            <w:tcW w:w="1376" w:type="dxa"/>
            <w:tcBorders>
              <w:top w:val="single" w:sz="4" w:space="0" w:color="auto"/>
              <w:left w:val="nil"/>
              <w:bottom w:val="single" w:sz="4" w:space="0" w:color="auto"/>
            </w:tcBorders>
            <w:vAlign w:val="center"/>
            <w:hideMark/>
          </w:tcPr>
          <w:p w14:paraId="10A9F1D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387" w:type="dxa"/>
            <w:tcBorders>
              <w:top w:val="single" w:sz="4" w:space="0" w:color="auto"/>
              <w:bottom w:val="single" w:sz="4" w:space="0" w:color="auto"/>
            </w:tcBorders>
            <w:vAlign w:val="center"/>
            <w:hideMark/>
          </w:tcPr>
          <w:p w14:paraId="62AF591C"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10</w:t>
            </w:r>
          </w:p>
        </w:tc>
        <w:tc>
          <w:tcPr>
            <w:tcW w:w="1302" w:type="dxa"/>
            <w:tcBorders>
              <w:top w:val="single" w:sz="4" w:space="0" w:color="auto"/>
              <w:bottom w:val="single" w:sz="4" w:space="0" w:color="auto"/>
            </w:tcBorders>
            <w:vAlign w:val="center"/>
            <w:hideMark/>
          </w:tcPr>
          <w:p w14:paraId="7BFA741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9</w:t>
            </w:r>
          </w:p>
        </w:tc>
        <w:tc>
          <w:tcPr>
            <w:tcW w:w="1753" w:type="dxa"/>
            <w:tcBorders>
              <w:top w:val="single" w:sz="4" w:space="0" w:color="auto"/>
              <w:bottom w:val="single" w:sz="4" w:space="0" w:color="auto"/>
            </w:tcBorders>
            <w:vAlign w:val="center"/>
            <w:hideMark/>
          </w:tcPr>
          <w:p w14:paraId="524580C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90</w:t>
            </w:r>
          </w:p>
        </w:tc>
        <w:tc>
          <w:tcPr>
            <w:tcW w:w="1622" w:type="dxa"/>
            <w:vMerge w:val="restart"/>
            <w:tcBorders>
              <w:top w:val="single" w:sz="4" w:space="0" w:color="auto"/>
              <w:right w:val="single" w:sz="4" w:space="0" w:color="auto"/>
            </w:tcBorders>
            <w:vAlign w:val="center"/>
            <w:hideMark/>
          </w:tcPr>
          <w:p w14:paraId="4F6A696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r>
      <w:tr w:rsidR="000E15B7" w:rsidRPr="00EC5748" w14:paraId="24792DFB" w14:textId="77777777" w:rsidTr="004E323E">
        <w:trPr>
          <w:trHeight w:val="288"/>
        </w:trPr>
        <w:tc>
          <w:tcPr>
            <w:tcW w:w="1985" w:type="dxa"/>
            <w:vMerge/>
            <w:tcBorders>
              <w:left w:val="single" w:sz="4" w:space="0" w:color="auto"/>
            </w:tcBorders>
            <w:vAlign w:val="center"/>
            <w:hideMark/>
          </w:tcPr>
          <w:p w14:paraId="0722A823" w14:textId="77777777" w:rsidR="000E15B7" w:rsidRPr="00EC5748" w:rsidRDefault="000E15B7" w:rsidP="00EC5748">
            <w:pPr>
              <w:rPr>
                <w:rFonts w:eastAsia="Times New Roman"/>
                <w:i/>
                <w:iCs/>
                <w:color w:val="000000"/>
                <w:lang w:eastAsia="fr-CA"/>
              </w:rPr>
            </w:pPr>
          </w:p>
        </w:tc>
        <w:tc>
          <w:tcPr>
            <w:tcW w:w="1632" w:type="dxa"/>
            <w:vMerge/>
            <w:tcBorders>
              <w:top w:val="single" w:sz="4" w:space="0" w:color="auto"/>
              <w:bottom w:val="single" w:sz="4" w:space="0" w:color="auto"/>
            </w:tcBorders>
            <w:vAlign w:val="center"/>
            <w:hideMark/>
          </w:tcPr>
          <w:p w14:paraId="5798EE20" w14:textId="77777777" w:rsidR="000E15B7" w:rsidRPr="00EC5748" w:rsidRDefault="000E15B7" w:rsidP="00EC5748">
            <w:pPr>
              <w:rPr>
                <w:rFonts w:eastAsia="Times New Roman"/>
                <w:color w:val="000000"/>
                <w:lang w:eastAsia="fr-CA"/>
              </w:rPr>
            </w:pPr>
          </w:p>
        </w:tc>
        <w:tc>
          <w:tcPr>
            <w:tcW w:w="1376" w:type="dxa"/>
            <w:tcBorders>
              <w:top w:val="single" w:sz="4" w:space="0" w:color="auto"/>
              <w:left w:val="nil"/>
              <w:bottom w:val="single" w:sz="4" w:space="0" w:color="auto"/>
            </w:tcBorders>
            <w:vAlign w:val="center"/>
            <w:hideMark/>
          </w:tcPr>
          <w:p w14:paraId="20F4304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387" w:type="dxa"/>
            <w:tcBorders>
              <w:top w:val="single" w:sz="4" w:space="0" w:color="auto"/>
              <w:bottom w:val="single" w:sz="4" w:space="0" w:color="auto"/>
            </w:tcBorders>
            <w:vAlign w:val="center"/>
            <w:hideMark/>
          </w:tcPr>
          <w:p w14:paraId="52ED91F3"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10</w:t>
            </w:r>
          </w:p>
        </w:tc>
        <w:tc>
          <w:tcPr>
            <w:tcW w:w="1302" w:type="dxa"/>
            <w:tcBorders>
              <w:top w:val="single" w:sz="4" w:space="0" w:color="auto"/>
              <w:bottom w:val="single" w:sz="4" w:space="0" w:color="auto"/>
            </w:tcBorders>
            <w:vAlign w:val="center"/>
            <w:hideMark/>
          </w:tcPr>
          <w:p w14:paraId="7F04F5E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9</w:t>
            </w:r>
          </w:p>
        </w:tc>
        <w:tc>
          <w:tcPr>
            <w:tcW w:w="1753" w:type="dxa"/>
            <w:tcBorders>
              <w:top w:val="single" w:sz="4" w:space="0" w:color="auto"/>
              <w:bottom w:val="single" w:sz="4" w:space="0" w:color="auto"/>
            </w:tcBorders>
            <w:vAlign w:val="center"/>
            <w:hideMark/>
          </w:tcPr>
          <w:p w14:paraId="7C5AD54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90</w:t>
            </w:r>
          </w:p>
        </w:tc>
        <w:tc>
          <w:tcPr>
            <w:tcW w:w="1622" w:type="dxa"/>
            <w:vMerge/>
            <w:tcBorders>
              <w:right w:val="single" w:sz="4" w:space="0" w:color="auto"/>
            </w:tcBorders>
            <w:vAlign w:val="center"/>
            <w:hideMark/>
          </w:tcPr>
          <w:p w14:paraId="43B57C95" w14:textId="77777777" w:rsidR="000E15B7" w:rsidRPr="00EC5748" w:rsidRDefault="000E15B7" w:rsidP="00EC5748">
            <w:pPr>
              <w:rPr>
                <w:rFonts w:eastAsia="Times New Roman"/>
                <w:color w:val="000000"/>
                <w:lang w:eastAsia="fr-CA"/>
              </w:rPr>
            </w:pPr>
          </w:p>
        </w:tc>
      </w:tr>
      <w:tr w:rsidR="000E15B7" w:rsidRPr="00EC5748" w14:paraId="1C59D9BE" w14:textId="77777777" w:rsidTr="004E323E">
        <w:trPr>
          <w:trHeight w:val="288"/>
        </w:trPr>
        <w:tc>
          <w:tcPr>
            <w:tcW w:w="1985" w:type="dxa"/>
            <w:vMerge/>
            <w:tcBorders>
              <w:top w:val="nil"/>
              <w:left w:val="single" w:sz="4" w:space="0" w:color="auto"/>
            </w:tcBorders>
            <w:vAlign w:val="center"/>
            <w:hideMark/>
          </w:tcPr>
          <w:p w14:paraId="57E5C575" w14:textId="77777777" w:rsidR="000E15B7" w:rsidRPr="00EC5748" w:rsidRDefault="000E15B7" w:rsidP="00EC5748">
            <w:pPr>
              <w:rPr>
                <w:rFonts w:eastAsia="Times New Roman"/>
                <w:i/>
                <w:iCs/>
                <w:color w:val="000000"/>
                <w:lang w:eastAsia="fr-CA"/>
              </w:rPr>
            </w:pPr>
          </w:p>
        </w:tc>
        <w:tc>
          <w:tcPr>
            <w:tcW w:w="1632" w:type="dxa"/>
            <w:vMerge/>
            <w:tcBorders>
              <w:top w:val="single" w:sz="4" w:space="0" w:color="auto"/>
              <w:bottom w:val="single" w:sz="4" w:space="0" w:color="auto"/>
            </w:tcBorders>
            <w:vAlign w:val="center"/>
            <w:hideMark/>
          </w:tcPr>
          <w:p w14:paraId="24D4FA17" w14:textId="77777777" w:rsidR="000E15B7" w:rsidRPr="00EC5748" w:rsidRDefault="000E15B7" w:rsidP="00EC5748">
            <w:pPr>
              <w:rPr>
                <w:rFonts w:eastAsia="Times New Roman"/>
                <w:color w:val="000000"/>
                <w:lang w:eastAsia="fr-CA"/>
              </w:rPr>
            </w:pPr>
          </w:p>
        </w:tc>
        <w:tc>
          <w:tcPr>
            <w:tcW w:w="1376" w:type="dxa"/>
            <w:tcBorders>
              <w:top w:val="single" w:sz="4" w:space="0" w:color="auto"/>
              <w:left w:val="nil"/>
              <w:bottom w:val="single" w:sz="4" w:space="0" w:color="auto"/>
            </w:tcBorders>
            <w:vAlign w:val="center"/>
            <w:hideMark/>
          </w:tcPr>
          <w:p w14:paraId="198AFD0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387" w:type="dxa"/>
            <w:tcBorders>
              <w:top w:val="single" w:sz="4" w:space="0" w:color="auto"/>
              <w:bottom w:val="single" w:sz="4" w:space="0" w:color="auto"/>
            </w:tcBorders>
            <w:vAlign w:val="center"/>
            <w:hideMark/>
          </w:tcPr>
          <w:p w14:paraId="0418CF22"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10</w:t>
            </w:r>
          </w:p>
        </w:tc>
        <w:tc>
          <w:tcPr>
            <w:tcW w:w="1302" w:type="dxa"/>
            <w:tcBorders>
              <w:top w:val="single" w:sz="4" w:space="0" w:color="auto"/>
              <w:bottom w:val="single" w:sz="4" w:space="0" w:color="auto"/>
            </w:tcBorders>
            <w:vAlign w:val="center"/>
            <w:hideMark/>
          </w:tcPr>
          <w:p w14:paraId="46CEEE9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w:t>
            </w:r>
          </w:p>
        </w:tc>
        <w:tc>
          <w:tcPr>
            <w:tcW w:w="1753" w:type="dxa"/>
            <w:tcBorders>
              <w:top w:val="single" w:sz="4" w:space="0" w:color="auto"/>
              <w:bottom w:val="single" w:sz="4" w:space="0" w:color="auto"/>
            </w:tcBorders>
            <w:vAlign w:val="center"/>
            <w:hideMark/>
          </w:tcPr>
          <w:p w14:paraId="0BA318C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622" w:type="dxa"/>
            <w:vMerge/>
            <w:tcBorders>
              <w:right w:val="single" w:sz="4" w:space="0" w:color="auto"/>
            </w:tcBorders>
            <w:vAlign w:val="center"/>
            <w:hideMark/>
          </w:tcPr>
          <w:p w14:paraId="0AF9630E" w14:textId="77777777" w:rsidR="000E15B7" w:rsidRPr="00EC5748" w:rsidRDefault="000E15B7" w:rsidP="00EC5748">
            <w:pPr>
              <w:rPr>
                <w:rFonts w:eastAsia="Times New Roman"/>
                <w:color w:val="000000"/>
                <w:lang w:eastAsia="fr-CA"/>
              </w:rPr>
            </w:pPr>
          </w:p>
        </w:tc>
      </w:tr>
      <w:tr w:rsidR="000E15B7" w:rsidRPr="00EC5748" w14:paraId="17F9F626" w14:textId="77777777" w:rsidTr="004E323E">
        <w:trPr>
          <w:trHeight w:val="288"/>
        </w:trPr>
        <w:tc>
          <w:tcPr>
            <w:tcW w:w="1985" w:type="dxa"/>
            <w:vMerge/>
            <w:tcBorders>
              <w:top w:val="nil"/>
              <w:left w:val="single" w:sz="4" w:space="0" w:color="auto"/>
            </w:tcBorders>
            <w:vAlign w:val="center"/>
            <w:hideMark/>
          </w:tcPr>
          <w:p w14:paraId="3E0316B4" w14:textId="77777777" w:rsidR="000E15B7" w:rsidRPr="00EC5748" w:rsidRDefault="000E15B7" w:rsidP="00EC5748">
            <w:pPr>
              <w:rPr>
                <w:rFonts w:eastAsia="Times New Roman"/>
                <w:i/>
                <w:iCs/>
                <w:color w:val="000000"/>
                <w:lang w:eastAsia="fr-CA"/>
              </w:rPr>
            </w:pPr>
          </w:p>
        </w:tc>
        <w:tc>
          <w:tcPr>
            <w:tcW w:w="1632" w:type="dxa"/>
            <w:vMerge/>
            <w:tcBorders>
              <w:top w:val="single" w:sz="4" w:space="0" w:color="auto"/>
              <w:bottom w:val="single" w:sz="4" w:space="0" w:color="auto"/>
            </w:tcBorders>
            <w:vAlign w:val="center"/>
            <w:hideMark/>
          </w:tcPr>
          <w:p w14:paraId="178AD893" w14:textId="77777777" w:rsidR="000E15B7" w:rsidRPr="00EC5748" w:rsidRDefault="000E15B7" w:rsidP="00EC5748">
            <w:pPr>
              <w:rPr>
                <w:rFonts w:eastAsia="Times New Roman"/>
                <w:color w:val="000000"/>
                <w:lang w:eastAsia="fr-CA"/>
              </w:rPr>
            </w:pPr>
          </w:p>
        </w:tc>
        <w:tc>
          <w:tcPr>
            <w:tcW w:w="1376" w:type="dxa"/>
            <w:tcBorders>
              <w:top w:val="single" w:sz="4" w:space="0" w:color="auto"/>
              <w:left w:val="nil"/>
              <w:bottom w:val="single" w:sz="4" w:space="0" w:color="auto"/>
            </w:tcBorders>
            <w:vAlign w:val="center"/>
            <w:hideMark/>
          </w:tcPr>
          <w:p w14:paraId="44A3496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387" w:type="dxa"/>
            <w:tcBorders>
              <w:top w:val="single" w:sz="4" w:space="0" w:color="auto"/>
              <w:bottom w:val="single" w:sz="4" w:space="0" w:color="auto"/>
            </w:tcBorders>
            <w:vAlign w:val="center"/>
            <w:hideMark/>
          </w:tcPr>
          <w:p w14:paraId="4744EC7C"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10</w:t>
            </w:r>
          </w:p>
        </w:tc>
        <w:tc>
          <w:tcPr>
            <w:tcW w:w="1302" w:type="dxa"/>
            <w:tcBorders>
              <w:top w:val="single" w:sz="4" w:space="0" w:color="auto"/>
              <w:bottom w:val="single" w:sz="4" w:space="0" w:color="auto"/>
            </w:tcBorders>
            <w:vAlign w:val="center"/>
            <w:hideMark/>
          </w:tcPr>
          <w:p w14:paraId="3A311DA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753" w:type="dxa"/>
            <w:tcBorders>
              <w:top w:val="single" w:sz="4" w:space="0" w:color="auto"/>
              <w:bottom w:val="single" w:sz="4" w:space="0" w:color="auto"/>
            </w:tcBorders>
            <w:vAlign w:val="center"/>
            <w:hideMark/>
          </w:tcPr>
          <w:p w14:paraId="094A4F0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60</w:t>
            </w:r>
          </w:p>
        </w:tc>
        <w:tc>
          <w:tcPr>
            <w:tcW w:w="1622" w:type="dxa"/>
            <w:vMerge/>
            <w:tcBorders>
              <w:bottom w:val="single" w:sz="4" w:space="0" w:color="auto"/>
              <w:right w:val="single" w:sz="4" w:space="0" w:color="auto"/>
            </w:tcBorders>
            <w:vAlign w:val="center"/>
            <w:hideMark/>
          </w:tcPr>
          <w:p w14:paraId="02C69976" w14:textId="77777777" w:rsidR="000E15B7" w:rsidRPr="00EC5748" w:rsidRDefault="000E15B7" w:rsidP="00EC5748">
            <w:pPr>
              <w:rPr>
                <w:rFonts w:eastAsia="Times New Roman"/>
                <w:color w:val="000000"/>
                <w:lang w:eastAsia="fr-CA"/>
              </w:rPr>
            </w:pPr>
          </w:p>
        </w:tc>
      </w:tr>
      <w:tr w:rsidR="000E15B7" w:rsidRPr="00EC5748" w14:paraId="12E40F51" w14:textId="77777777" w:rsidTr="004E323E">
        <w:trPr>
          <w:trHeight w:val="288"/>
        </w:trPr>
        <w:tc>
          <w:tcPr>
            <w:tcW w:w="1985" w:type="dxa"/>
            <w:vMerge/>
            <w:tcBorders>
              <w:top w:val="nil"/>
              <w:left w:val="single" w:sz="4" w:space="0" w:color="auto"/>
            </w:tcBorders>
            <w:vAlign w:val="center"/>
            <w:hideMark/>
          </w:tcPr>
          <w:p w14:paraId="6B64BEB6" w14:textId="77777777" w:rsidR="000E15B7" w:rsidRPr="00EC5748" w:rsidRDefault="000E15B7" w:rsidP="00EC5748">
            <w:pPr>
              <w:rPr>
                <w:rFonts w:eastAsia="Times New Roman"/>
                <w:i/>
                <w:iCs/>
                <w:color w:val="000000"/>
                <w:lang w:eastAsia="fr-CA"/>
              </w:rPr>
            </w:pPr>
          </w:p>
        </w:tc>
        <w:tc>
          <w:tcPr>
            <w:tcW w:w="1632" w:type="dxa"/>
            <w:vMerge/>
            <w:tcBorders>
              <w:top w:val="single" w:sz="4" w:space="0" w:color="auto"/>
              <w:bottom w:val="single" w:sz="4" w:space="0" w:color="auto"/>
            </w:tcBorders>
            <w:vAlign w:val="center"/>
            <w:hideMark/>
          </w:tcPr>
          <w:p w14:paraId="12F531B9" w14:textId="77777777" w:rsidR="000E15B7" w:rsidRPr="00EC5748" w:rsidRDefault="000E15B7" w:rsidP="00EC5748">
            <w:pPr>
              <w:rPr>
                <w:rFonts w:eastAsia="Times New Roman"/>
                <w:color w:val="000000"/>
                <w:lang w:eastAsia="fr-CA"/>
              </w:rPr>
            </w:pPr>
          </w:p>
        </w:tc>
        <w:tc>
          <w:tcPr>
            <w:tcW w:w="1376" w:type="dxa"/>
            <w:tcBorders>
              <w:top w:val="single" w:sz="4" w:space="0" w:color="auto"/>
              <w:left w:val="nil"/>
              <w:bottom w:val="single" w:sz="4" w:space="0" w:color="auto"/>
            </w:tcBorders>
            <w:vAlign w:val="center"/>
            <w:hideMark/>
          </w:tcPr>
          <w:p w14:paraId="6381455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387" w:type="dxa"/>
            <w:tcBorders>
              <w:top w:val="single" w:sz="4" w:space="0" w:color="auto"/>
              <w:bottom w:val="single" w:sz="4" w:space="0" w:color="auto"/>
            </w:tcBorders>
            <w:vAlign w:val="center"/>
            <w:hideMark/>
          </w:tcPr>
          <w:p w14:paraId="714F2C12"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10</w:t>
            </w:r>
          </w:p>
        </w:tc>
        <w:tc>
          <w:tcPr>
            <w:tcW w:w="1302" w:type="dxa"/>
            <w:tcBorders>
              <w:top w:val="single" w:sz="4" w:space="0" w:color="auto"/>
              <w:bottom w:val="single" w:sz="4" w:space="0" w:color="auto"/>
            </w:tcBorders>
            <w:vAlign w:val="center"/>
            <w:hideMark/>
          </w:tcPr>
          <w:p w14:paraId="055A913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753" w:type="dxa"/>
            <w:tcBorders>
              <w:top w:val="single" w:sz="4" w:space="0" w:color="auto"/>
              <w:bottom w:val="single" w:sz="4" w:space="0" w:color="auto"/>
            </w:tcBorders>
            <w:vAlign w:val="center"/>
            <w:hideMark/>
          </w:tcPr>
          <w:p w14:paraId="7E81F3B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60</w:t>
            </w:r>
          </w:p>
        </w:tc>
        <w:tc>
          <w:tcPr>
            <w:tcW w:w="1622" w:type="dxa"/>
            <w:tcBorders>
              <w:top w:val="single" w:sz="4" w:space="0" w:color="auto"/>
              <w:bottom w:val="single" w:sz="4" w:space="0" w:color="auto"/>
              <w:right w:val="single" w:sz="4" w:space="0" w:color="auto"/>
            </w:tcBorders>
            <w:vAlign w:val="center"/>
            <w:hideMark/>
          </w:tcPr>
          <w:p w14:paraId="5A6FED00" w14:textId="309263C0" w:rsidR="000E15B7" w:rsidRPr="00EC5748" w:rsidRDefault="00862C22" w:rsidP="00862C22">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473C5104" w14:textId="77777777" w:rsidTr="004E323E">
        <w:trPr>
          <w:trHeight w:val="288"/>
        </w:trPr>
        <w:tc>
          <w:tcPr>
            <w:tcW w:w="1985" w:type="dxa"/>
            <w:vMerge/>
            <w:tcBorders>
              <w:top w:val="nil"/>
              <w:left w:val="single" w:sz="4" w:space="0" w:color="auto"/>
            </w:tcBorders>
            <w:vAlign w:val="center"/>
            <w:hideMark/>
          </w:tcPr>
          <w:p w14:paraId="522C42A2" w14:textId="77777777" w:rsidR="000E15B7" w:rsidRPr="00EC5748" w:rsidRDefault="000E15B7" w:rsidP="00EC5748">
            <w:pPr>
              <w:rPr>
                <w:rFonts w:eastAsia="Times New Roman"/>
                <w:i/>
                <w:iCs/>
                <w:color w:val="000000"/>
                <w:lang w:eastAsia="fr-CA"/>
              </w:rPr>
            </w:pPr>
          </w:p>
        </w:tc>
        <w:tc>
          <w:tcPr>
            <w:tcW w:w="1632" w:type="dxa"/>
            <w:vMerge w:val="restart"/>
            <w:tcBorders>
              <w:top w:val="single" w:sz="4" w:space="0" w:color="auto"/>
              <w:bottom w:val="single" w:sz="4" w:space="0" w:color="auto"/>
            </w:tcBorders>
            <w:vAlign w:val="center"/>
            <w:hideMark/>
          </w:tcPr>
          <w:p w14:paraId="0705212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Chaudière-Appalaches</w:t>
            </w:r>
          </w:p>
        </w:tc>
        <w:tc>
          <w:tcPr>
            <w:tcW w:w="1376" w:type="dxa"/>
            <w:tcBorders>
              <w:top w:val="single" w:sz="4" w:space="0" w:color="auto"/>
              <w:left w:val="nil"/>
              <w:bottom w:val="single" w:sz="4" w:space="0" w:color="auto"/>
            </w:tcBorders>
            <w:vAlign w:val="center"/>
            <w:hideMark/>
          </w:tcPr>
          <w:p w14:paraId="6AD4FED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387" w:type="dxa"/>
            <w:tcBorders>
              <w:top w:val="single" w:sz="4" w:space="0" w:color="auto"/>
              <w:bottom w:val="single" w:sz="4" w:space="0" w:color="auto"/>
            </w:tcBorders>
            <w:vAlign w:val="center"/>
            <w:hideMark/>
          </w:tcPr>
          <w:p w14:paraId="0841C172"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11</w:t>
            </w:r>
          </w:p>
        </w:tc>
        <w:tc>
          <w:tcPr>
            <w:tcW w:w="1302" w:type="dxa"/>
            <w:tcBorders>
              <w:top w:val="single" w:sz="4" w:space="0" w:color="auto"/>
              <w:bottom w:val="single" w:sz="4" w:space="0" w:color="auto"/>
            </w:tcBorders>
            <w:vAlign w:val="center"/>
            <w:hideMark/>
          </w:tcPr>
          <w:p w14:paraId="5DA6FA9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9</w:t>
            </w:r>
          </w:p>
        </w:tc>
        <w:tc>
          <w:tcPr>
            <w:tcW w:w="1753" w:type="dxa"/>
            <w:tcBorders>
              <w:top w:val="single" w:sz="4" w:space="0" w:color="auto"/>
              <w:bottom w:val="single" w:sz="4" w:space="0" w:color="auto"/>
            </w:tcBorders>
            <w:vAlign w:val="center"/>
            <w:hideMark/>
          </w:tcPr>
          <w:p w14:paraId="69E789C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81,8</w:t>
            </w:r>
          </w:p>
        </w:tc>
        <w:tc>
          <w:tcPr>
            <w:tcW w:w="1622" w:type="dxa"/>
            <w:vMerge w:val="restart"/>
            <w:tcBorders>
              <w:top w:val="single" w:sz="4" w:space="0" w:color="auto"/>
              <w:right w:val="single" w:sz="4" w:space="0" w:color="auto"/>
            </w:tcBorders>
            <w:vAlign w:val="center"/>
            <w:hideMark/>
          </w:tcPr>
          <w:p w14:paraId="729E8AB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r>
      <w:tr w:rsidR="000E15B7" w:rsidRPr="00EC5748" w14:paraId="4BC75493" w14:textId="77777777" w:rsidTr="004E323E">
        <w:trPr>
          <w:trHeight w:val="288"/>
        </w:trPr>
        <w:tc>
          <w:tcPr>
            <w:tcW w:w="1985" w:type="dxa"/>
            <w:vMerge/>
            <w:tcBorders>
              <w:top w:val="nil"/>
              <w:left w:val="single" w:sz="4" w:space="0" w:color="auto"/>
            </w:tcBorders>
            <w:vAlign w:val="center"/>
            <w:hideMark/>
          </w:tcPr>
          <w:p w14:paraId="6FFCEBAE" w14:textId="77777777" w:rsidR="000E15B7" w:rsidRPr="00EC5748" w:rsidRDefault="000E15B7" w:rsidP="00EC5748">
            <w:pPr>
              <w:rPr>
                <w:rFonts w:eastAsia="Times New Roman"/>
                <w:i/>
                <w:iCs/>
                <w:color w:val="000000"/>
                <w:lang w:eastAsia="fr-CA"/>
              </w:rPr>
            </w:pPr>
          </w:p>
        </w:tc>
        <w:tc>
          <w:tcPr>
            <w:tcW w:w="1632" w:type="dxa"/>
            <w:vMerge/>
            <w:tcBorders>
              <w:top w:val="single" w:sz="4" w:space="0" w:color="auto"/>
              <w:bottom w:val="single" w:sz="4" w:space="0" w:color="auto"/>
            </w:tcBorders>
            <w:vAlign w:val="center"/>
            <w:hideMark/>
          </w:tcPr>
          <w:p w14:paraId="54EA5B42" w14:textId="77777777" w:rsidR="000E15B7" w:rsidRPr="00EC5748" w:rsidRDefault="000E15B7" w:rsidP="00EC5748">
            <w:pPr>
              <w:rPr>
                <w:rFonts w:eastAsia="Times New Roman"/>
                <w:color w:val="000000"/>
                <w:lang w:eastAsia="fr-CA"/>
              </w:rPr>
            </w:pPr>
          </w:p>
        </w:tc>
        <w:tc>
          <w:tcPr>
            <w:tcW w:w="1376" w:type="dxa"/>
            <w:tcBorders>
              <w:top w:val="single" w:sz="4" w:space="0" w:color="auto"/>
              <w:left w:val="nil"/>
              <w:bottom w:val="single" w:sz="4" w:space="0" w:color="auto"/>
            </w:tcBorders>
            <w:vAlign w:val="center"/>
            <w:hideMark/>
          </w:tcPr>
          <w:p w14:paraId="3DBBE64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387" w:type="dxa"/>
            <w:tcBorders>
              <w:top w:val="single" w:sz="4" w:space="0" w:color="auto"/>
              <w:bottom w:val="single" w:sz="4" w:space="0" w:color="auto"/>
            </w:tcBorders>
            <w:vAlign w:val="center"/>
            <w:hideMark/>
          </w:tcPr>
          <w:p w14:paraId="6C7E93A0"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10</w:t>
            </w:r>
          </w:p>
        </w:tc>
        <w:tc>
          <w:tcPr>
            <w:tcW w:w="1302" w:type="dxa"/>
            <w:tcBorders>
              <w:top w:val="single" w:sz="4" w:space="0" w:color="auto"/>
              <w:bottom w:val="single" w:sz="4" w:space="0" w:color="auto"/>
            </w:tcBorders>
            <w:vAlign w:val="center"/>
            <w:hideMark/>
          </w:tcPr>
          <w:p w14:paraId="4EF24CC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w:t>
            </w:r>
          </w:p>
        </w:tc>
        <w:tc>
          <w:tcPr>
            <w:tcW w:w="1753" w:type="dxa"/>
            <w:tcBorders>
              <w:top w:val="single" w:sz="4" w:space="0" w:color="auto"/>
              <w:bottom w:val="single" w:sz="4" w:space="0" w:color="auto"/>
            </w:tcBorders>
            <w:vAlign w:val="center"/>
            <w:hideMark/>
          </w:tcPr>
          <w:p w14:paraId="407908B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622" w:type="dxa"/>
            <w:vMerge/>
            <w:tcBorders>
              <w:top w:val="nil"/>
              <w:right w:val="single" w:sz="4" w:space="0" w:color="auto"/>
            </w:tcBorders>
            <w:vAlign w:val="center"/>
            <w:hideMark/>
          </w:tcPr>
          <w:p w14:paraId="7E4F85A7" w14:textId="77777777" w:rsidR="000E15B7" w:rsidRPr="00EC5748" w:rsidRDefault="000E15B7" w:rsidP="00EC5748">
            <w:pPr>
              <w:rPr>
                <w:rFonts w:eastAsia="Times New Roman"/>
                <w:color w:val="000000"/>
                <w:lang w:eastAsia="fr-CA"/>
              </w:rPr>
            </w:pPr>
          </w:p>
        </w:tc>
      </w:tr>
      <w:tr w:rsidR="000E15B7" w:rsidRPr="00EC5748" w14:paraId="77CD3501" w14:textId="77777777" w:rsidTr="004E323E">
        <w:trPr>
          <w:trHeight w:val="288"/>
        </w:trPr>
        <w:tc>
          <w:tcPr>
            <w:tcW w:w="1985" w:type="dxa"/>
            <w:vMerge/>
            <w:tcBorders>
              <w:top w:val="nil"/>
              <w:left w:val="single" w:sz="4" w:space="0" w:color="auto"/>
            </w:tcBorders>
            <w:vAlign w:val="center"/>
            <w:hideMark/>
          </w:tcPr>
          <w:p w14:paraId="39045D73" w14:textId="77777777" w:rsidR="000E15B7" w:rsidRPr="00EC5748" w:rsidRDefault="000E15B7" w:rsidP="00EC5748">
            <w:pPr>
              <w:rPr>
                <w:rFonts w:eastAsia="Times New Roman"/>
                <w:i/>
                <w:iCs/>
                <w:color w:val="000000"/>
                <w:lang w:eastAsia="fr-CA"/>
              </w:rPr>
            </w:pPr>
          </w:p>
        </w:tc>
        <w:tc>
          <w:tcPr>
            <w:tcW w:w="1632" w:type="dxa"/>
            <w:vMerge/>
            <w:tcBorders>
              <w:top w:val="single" w:sz="4" w:space="0" w:color="auto"/>
              <w:bottom w:val="single" w:sz="4" w:space="0" w:color="auto"/>
            </w:tcBorders>
            <w:vAlign w:val="center"/>
            <w:hideMark/>
          </w:tcPr>
          <w:p w14:paraId="7781DAA4" w14:textId="77777777" w:rsidR="000E15B7" w:rsidRPr="00EC5748" w:rsidRDefault="000E15B7" w:rsidP="00EC5748">
            <w:pPr>
              <w:rPr>
                <w:rFonts w:eastAsia="Times New Roman"/>
                <w:color w:val="000000"/>
                <w:lang w:eastAsia="fr-CA"/>
              </w:rPr>
            </w:pPr>
          </w:p>
        </w:tc>
        <w:tc>
          <w:tcPr>
            <w:tcW w:w="1376" w:type="dxa"/>
            <w:tcBorders>
              <w:top w:val="single" w:sz="4" w:space="0" w:color="auto"/>
              <w:left w:val="nil"/>
              <w:bottom w:val="single" w:sz="4" w:space="0" w:color="auto"/>
            </w:tcBorders>
            <w:vAlign w:val="center"/>
            <w:hideMark/>
          </w:tcPr>
          <w:p w14:paraId="4BADCBE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387" w:type="dxa"/>
            <w:tcBorders>
              <w:top w:val="single" w:sz="4" w:space="0" w:color="auto"/>
              <w:bottom w:val="single" w:sz="4" w:space="0" w:color="auto"/>
            </w:tcBorders>
            <w:vAlign w:val="center"/>
            <w:hideMark/>
          </w:tcPr>
          <w:p w14:paraId="657510CC"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11</w:t>
            </w:r>
          </w:p>
        </w:tc>
        <w:tc>
          <w:tcPr>
            <w:tcW w:w="1302" w:type="dxa"/>
            <w:tcBorders>
              <w:top w:val="single" w:sz="4" w:space="0" w:color="auto"/>
              <w:bottom w:val="single" w:sz="4" w:space="0" w:color="auto"/>
            </w:tcBorders>
            <w:vAlign w:val="center"/>
            <w:hideMark/>
          </w:tcPr>
          <w:p w14:paraId="571249C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w:t>
            </w:r>
          </w:p>
        </w:tc>
        <w:tc>
          <w:tcPr>
            <w:tcW w:w="1753" w:type="dxa"/>
            <w:tcBorders>
              <w:top w:val="single" w:sz="4" w:space="0" w:color="auto"/>
              <w:bottom w:val="single" w:sz="4" w:space="0" w:color="auto"/>
            </w:tcBorders>
            <w:vAlign w:val="center"/>
            <w:hideMark/>
          </w:tcPr>
          <w:p w14:paraId="73A6730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90,9</w:t>
            </w:r>
          </w:p>
        </w:tc>
        <w:tc>
          <w:tcPr>
            <w:tcW w:w="1622" w:type="dxa"/>
            <w:vMerge/>
            <w:tcBorders>
              <w:top w:val="nil"/>
              <w:right w:val="single" w:sz="4" w:space="0" w:color="auto"/>
            </w:tcBorders>
            <w:vAlign w:val="center"/>
            <w:hideMark/>
          </w:tcPr>
          <w:p w14:paraId="53978B70" w14:textId="77777777" w:rsidR="000E15B7" w:rsidRPr="00EC5748" w:rsidRDefault="000E15B7" w:rsidP="00EC5748">
            <w:pPr>
              <w:rPr>
                <w:rFonts w:eastAsia="Times New Roman"/>
                <w:color w:val="000000"/>
                <w:lang w:eastAsia="fr-CA"/>
              </w:rPr>
            </w:pPr>
          </w:p>
        </w:tc>
      </w:tr>
      <w:tr w:rsidR="000E15B7" w:rsidRPr="00EC5748" w14:paraId="1D0A54D0" w14:textId="77777777" w:rsidTr="004E323E">
        <w:trPr>
          <w:trHeight w:val="288"/>
        </w:trPr>
        <w:tc>
          <w:tcPr>
            <w:tcW w:w="1985" w:type="dxa"/>
            <w:vMerge/>
            <w:tcBorders>
              <w:top w:val="nil"/>
              <w:left w:val="single" w:sz="4" w:space="0" w:color="auto"/>
            </w:tcBorders>
            <w:vAlign w:val="center"/>
            <w:hideMark/>
          </w:tcPr>
          <w:p w14:paraId="16776818" w14:textId="77777777" w:rsidR="000E15B7" w:rsidRPr="00EC5748" w:rsidRDefault="000E15B7" w:rsidP="00EC5748">
            <w:pPr>
              <w:rPr>
                <w:rFonts w:eastAsia="Times New Roman"/>
                <w:i/>
                <w:iCs/>
                <w:color w:val="000000"/>
                <w:lang w:eastAsia="fr-CA"/>
              </w:rPr>
            </w:pPr>
          </w:p>
        </w:tc>
        <w:tc>
          <w:tcPr>
            <w:tcW w:w="1632" w:type="dxa"/>
            <w:vMerge/>
            <w:tcBorders>
              <w:top w:val="single" w:sz="4" w:space="0" w:color="auto"/>
              <w:bottom w:val="single" w:sz="4" w:space="0" w:color="auto"/>
            </w:tcBorders>
            <w:vAlign w:val="center"/>
            <w:hideMark/>
          </w:tcPr>
          <w:p w14:paraId="7DE11697" w14:textId="77777777" w:rsidR="000E15B7" w:rsidRPr="00EC5748" w:rsidRDefault="000E15B7" w:rsidP="00EC5748">
            <w:pPr>
              <w:rPr>
                <w:rFonts w:eastAsia="Times New Roman"/>
                <w:color w:val="000000"/>
                <w:lang w:eastAsia="fr-CA"/>
              </w:rPr>
            </w:pPr>
          </w:p>
        </w:tc>
        <w:tc>
          <w:tcPr>
            <w:tcW w:w="1376" w:type="dxa"/>
            <w:tcBorders>
              <w:top w:val="single" w:sz="4" w:space="0" w:color="auto"/>
              <w:left w:val="nil"/>
              <w:bottom w:val="single" w:sz="4" w:space="0" w:color="auto"/>
            </w:tcBorders>
            <w:vAlign w:val="center"/>
            <w:hideMark/>
          </w:tcPr>
          <w:p w14:paraId="3F2C8FB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387" w:type="dxa"/>
            <w:tcBorders>
              <w:top w:val="single" w:sz="4" w:space="0" w:color="auto"/>
              <w:bottom w:val="single" w:sz="4" w:space="0" w:color="auto"/>
            </w:tcBorders>
            <w:vAlign w:val="center"/>
            <w:hideMark/>
          </w:tcPr>
          <w:p w14:paraId="2B918EC9"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11</w:t>
            </w:r>
          </w:p>
        </w:tc>
        <w:tc>
          <w:tcPr>
            <w:tcW w:w="1302" w:type="dxa"/>
            <w:tcBorders>
              <w:top w:val="single" w:sz="4" w:space="0" w:color="auto"/>
              <w:bottom w:val="single" w:sz="4" w:space="0" w:color="auto"/>
            </w:tcBorders>
            <w:vAlign w:val="center"/>
            <w:hideMark/>
          </w:tcPr>
          <w:p w14:paraId="0A1F76C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753" w:type="dxa"/>
            <w:tcBorders>
              <w:top w:val="single" w:sz="4" w:space="0" w:color="auto"/>
              <w:bottom w:val="single" w:sz="4" w:space="0" w:color="auto"/>
            </w:tcBorders>
            <w:vAlign w:val="center"/>
            <w:hideMark/>
          </w:tcPr>
          <w:p w14:paraId="741DA91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54,5</w:t>
            </w:r>
          </w:p>
        </w:tc>
        <w:tc>
          <w:tcPr>
            <w:tcW w:w="1622" w:type="dxa"/>
            <w:vMerge/>
            <w:tcBorders>
              <w:top w:val="nil"/>
              <w:bottom w:val="single" w:sz="4" w:space="0" w:color="auto"/>
              <w:right w:val="single" w:sz="4" w:space="0" w:color="auto"/>
            </w:tcBorders>
            <w:vAlign w:val="center"/>
            <w:hideMark/>
          </w:tcPr>
          <w:p w14:paraId="30ED5CB5" w14:textId="77777777" w:rsidR="000E15B7" w:rsidRPr="00EC5748" w:rsidRDefault="000E15B7" w:rsidP="00EC5748">
            <w:pPr>
              <w:rPr>
                <w:rFonts w:eastAsia="Times New Roman"/>
                <w:color w:val="000000"/>
                <w:lang w:eastAsia="fr-CA"/>
              </w:rPr>
            </w:pPr>
          </w:p>
        </w:tc>
      </w:tr>
      <w:tr w:rsidR="000E15B7" w:rsidRPr="00EC5748" w14:paraId="14AB4151" w14:textId="77777777" w:rsidTr="004E323E">
        <w:trPr>
          <w:trHeight w:val="288"/>
        </w:trPr>
        <w:tc>
          <w:tcPr>
            <w:tcW w:w="1985" w:type="dxa"/>
            <w:vMerge/>
            <w:tcBorders>
              <w:top w:val="nil"/>
              <w:left w:val="single" w:sz="4" w:space="0" w:color="auto"/>
            </w:tcBorders>
            <w:vAlign w:val="center"/>
            <w:hideMark/>
          </w:tcPr>
          <w:p w14:paraId="306466DC" w14:textId="77777777" w:rsidR="000E15B7" w:rsidRPr="00EC5748" w:rsidRDefault="000E15B7" w:rsidP="00EC5748">
            <w:pPr>
              <w:rPr>
                <w:rFonts w:eastAsia="Times New Roman"/>
                <w:i/>
                <w:iCs/>
                <w:color w:val="000000"/>
                <w:lang w:eastAsia="fr-CA"/>
              </w:rPr>
            </w:pPr>
          </w:p>
        </w:tc>
        <w:tc>
          <w:tcPr>
            <w:tcW w:w="1632" w:type="dxa"/>
            <w:vMerge/>
            <w:tcBorders>
              <w:top w:val="single" w:sz="4" w:space="0" w:color="auto"/>
              <w:bottom w:val="single" w:sz="4" w:space="0" w:color="auto"/>
            </w:tcBorders>
            <w:vAlign w:val="center"/>
            <w:hideMark/>
          </w:tcPr>
          <w:p w14:paraId="16CAE1B6" w14:textId="77777777" w:rsidR="000E15B7" w:rsidRPr="00EC5748" w:rsidRDefault="000E15B7" w:rsidP="00EC5748">
            <w:pPr>
              <w:rPr>
                <w:rFonts w:eastAsia="Times New Roman"/>
                <w:color w:val="000000"/>
                <w:lang w:eastAsia="fr-CA"/>
              </w:rPr>
            </w:pPr>
          </w:p>
        </w:tc>
        <w:tc>
          <w:tcPr>
            <w:tcW w:w="1376" w:type="dxa"/>
            <w:tcBorders>
              <w:top w:val="single" w:sz="4" w:space="0" w:color="auto"/>
              <w:left w:val="nil"/>
              <w:bottom w:val="single" w:sz="4" w:space="0" w:color="auto"/>
            </w:tcBorders>
            <w:vAlign w:val="center"/>
            <w:hideMark/>
          </w:tcPr>
          <w:p w14:paraId="0041CA2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387" w:type="dxa"/>
            <w:tcBorders>
              <w:top w:val="single" w:sz="4" w:space="0" w:color="auto"/>
              <w:bottom w:val="single" w:sz="4" w:space="0" w:color="auto"/>
            </w:tcBorders>
            <w:vAlign w:val="center"/>
            <w:hideMark/>
          </w:tcPr>
          <w:p w14:paraId="76F4F522"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11</w:t>
            </w:r>
          </w:p>
        </w:tc>
        <w:tc>
          <w:tcPr>
            <w:tcW w:w="1302" w:type="dxa"/>
            <w:tcBorders>
              <w:top w:val="single" w:sz="4" w:space="0" w:color="auto"/>
              <w:bottom w:val="single" w:sz="4" w:space="0" w:color="auto"/>
            </w:tcBorders>
            <w:vAlign w:val="center"/>
            <w:hideMark/>
          </w:tcPr>
          <w:p w14:paraId="2E6D17A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753" w:type="dxa"/>
            <w:tcBorders>
              <w:top w:val="single" w:sz="4" w:space="0" w:color="auto"/>
              <w:bottom w:val="single" w:sz="4" w:space="0" w:color="auto"/>
            </w:tcBorders>
            <w:vAlign w:val="center"/>
            <w:hideMark/>
          </w:tcPr>
          <w:p w14:paraId="2A325FE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54,5</w:t>
            </w:r>
          </w:p>
        </w:tc>
        <w:tc>
          <w:tcPr>
            <w:tcW w:w="1622" w:type="dxa"/>
            <w:tcBorders>
              <w:top w:val="single" w:sz="4" w:space="0" w:color="auto"/>
              <w:bottom w:val="single" w:sz="4" w:space="0" w:color="auto"/>
              <w:right w:val="single" w:sz="4" w:space="0" w:color="auto"/>
            </w:tcBorders>
            <w:vAlign w:val="center"/>
            <w:hideMark/>
          </w:tcPr>
          <w:p w14:paraId="69950344" w14:textId="59A7A4EA" w:rsidR="000E15B7" w:rsidRPr="00EC5748" w:rsidRDefault="00862C22" w:rsidP="00862C22">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2A27BF20" w14:textId="77777777" w:rsidTr="004E323E">
        <w:trPr>
          <w:trHeight w:val="288"/>
        </w:trPr>
        <w:tc>
          <w:tcPr>
            <w:tcW w:w="1985" w:type="dxa"/>
            <w:vMerge/>
            <w:tcBorders>
              <w:top w:val="nil"/>
              <w:left w:val="single" w:sz="4" w:space="0" w:color="auto"/>
            </w:tcBorders>
            <w:vAlign w:val="center"/>
            <w:hideMark/>
          </w:tcPr>
          <w:p w14:paraId="08F56C56" w14:textId="77777777" w:rsidR="000E15B7" w:rsidRPr="00EC5748" w:rsidRDefault="000E15B7" w:rsidP="00EC5748">
            <w:pPr>
              <w:rPr>
                <w:rFonts w:eastAsia="Times New Roman"/>
                <w:i/>
                <w:iCs/>
                <w:color w:val="000000"/>
                <w:lang w:eastAsia="fr-CA"/>
              </w:rPr>
            </w:pPr>
          </w:p>
        </w:tc>
        <w:tc>
          <w:tcPr>
            <w:tcW w:w="1632" w:type="dxa"/>
            <w:vMerge w:val="restart"/>
            <w:tcBorders>
              <w:top w:val="single" w:sz="4" w:space="0" w:color="auto"/>
            </w:tcBorders>
            <w:vAlign w:val="center"/>
            <w:hideMark/>
          </w:tcPr>
          <w:p w14:paraId="4A49E3A7" w14:textId="159E6762" w:rsidR="000E15B7" w:rsidRPr="00EC5748" w:rsidRDefault="000E15B7" w:rsidP="00EC5748">
            <w:pPr>
              <w:jc w:val="center"/>
              <w:rPr>
                <w:rFonts w:eastAsia="Times New Roman"/>
                <w:color w:val="000000"/>
                <w:lang w:eastAsia="fr-CA"/>
              </w:rPr>
            </w:pPr>
            <w:r w:rsidRPr="00EC5748">
              <w:rPr>
                <w:rFonts w:eastAsia="Times New Roman"/>
                <w:color w:val="000000"/>
                <w:lang w:eastAsia="fr-CA"/>
              </w:rPr>
              <w:t>Centre</w:t>
            </w:r>
            <w:r w:rsidR="00EC7D82">
              <w:rPr>
                <w:rFonts w:eastAsia="Times New Roman"/>
                <w:color w:val="000000"/>
                <w:lang w:eastAsia="fr-CA"/>
              </w:rPr>
              <w:t>-</w:t>
            </w:r>
            <w:r w:rsidRPr="00EC5748">
              <w:rPr>
                <w:rFonts w:eastAsia="Times New Roman"/>
                <w:color w:val="000000"/>
                <w:lang w:eastAsia="fr-CA"/>
              </w:rPr>
              <w:t>du</w:t>
            </w:r>
            <w:r w:rsidR="00EC7D82">
              <w:rPr>
                <w:rFonts w:eastAsia="Times New Roman"/>
                <w:color w:val="000000"/>
                <w:lang w:eastAsia="fr-CA"/>
              </w:rPr>
              <w:t>-</w:t>
            </w:r>
            <w:r w:rsidRPr="00EC5748">
              <w:rPr>
                <w:rFonts w:eastAsia="Times New Roman"/>
                <w:color w:val="000000"/>
                <w:lang w:eastAsia="fr-CA"/>
              </w:rPr>
              <w:t>Québec</w:t>
            </w:r>
          </w:p>
        </w:tc>
        <w:tc>
          <w:tcPr>
            <w:tcW w:w="1376" w:type="dxa"/>
            <w:tcBorders>
              <w:top w:val="single" w:sz="4" w:space="0" w:color="auto"/>
              <w:left w:val="nil"/>
              <w:bottom w:val="single" w:sz="4" w:space="0" w:color="auto"/>
            </w:tcBorders>
            <w:vAlign w:val="center"/>
            <w:hideMark/>
          </w:tcPr>
          <w:p w14:paraId="0FAF514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387" w:type="dxa"/>
            <w:tcBorders>
              <w:top w:val="single" w:sz="4" w:space="0" w:color="auto"/>
              <w:bottom w:val="single" w:sz="4" w:space="0" w:color="auto"/>
            </w:tcBorders>
            <w:vAlign w:val="center"/>
            <w:hideMark/>
          </w:tcPr>
          <w:p w14:paraId="53CE52A2"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2</w:t>
            </w:r>
          </w:p>
        </w:tc>
        <w:tc>
          <w:tcPr>
            <w:tcW w:w="1302" w:type="dxa"/>
            <w:tcBorders>
              <w:top w:val="single" w:sz="4" w:space="0" w:color="auto"/>
              <w:bottom w:val="single" w:sz="4" w:space="0" w:color="auto"/>
            </w:tcBorders>
            <w:vAlign w:val="center"/>
            <w:hideMark/>
          </w:tcPr>
          <w:p w14:paraId="2D44E70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475F804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vMerge w:val="restart"/>
            <w:tcBorders>
              <w:top w:val="single" w:sz="4" w:space="0" w:color="auto"/>
              <w:right w:val="single" w:sz="4" w:space="0" w:color="auto"/>
            </w:tcBorders>
            <w:vAlign w:val="center"/>
            <w:hideMark/>
          </w:tcPr>
          <w:p w14:paraId="35CA3A3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r>
      <w:tr w:rsidR="000E15B7" w:rsidRPr="00EC5748" w14:paraId="6713EF89" w14:textId="77777777" w:rsidTr="004E323E">
        <w:trPr>
          <w:trHeight w:val="288"/>
        </w:trPr>
        <w:tc>
          <w:tcPr>
            <w:tcW w:w="1985" w:type="dxa"/>
            <w:vMerge/>
            <w:tcBorders>
              <w:top w:val="nil"/>
              <w:left w:val="single" w:sz="4" w:space="0" w:color="auto"/>
            </w:tcBorders>
            <w:vAlign w:val="center"/>
            <w:hideMark/>
          </w:tcPr>
          <w:p w14:paraId="51DBE71F" w14:textId="77777777" w:rsidR="000E15B7" w:rsidRPr="00EC5748" w:rsidRDefault="000E15B7" w:rsidP="00EC5748">
            <w:pPr>
              <w:rPr>
                <w:rFonts w:eastAsia="Times New Roman"/>
                <w:i/>
                <w:iCs/>
                <w:color w:val="000000"/>
                <w:lang w:eastAsia="fr-CA"/>
              </w:rPr>
            </w:pPr>
          </w:p>
        </w:tc>
        <w:tc>
          <w:tcPr>
            <w:tcW w:w="1632" w:type="dxa"/>
            <w:vMerge/>
            <w:tcBorders>
              <w:top w:val="nil"/>
            </w:tcBorders>
            <w:vAlign w:val="center"/>
            <w:hideMark/>
          </w:tcPr>
          <w:p w14:paraId="7C3E6873" w14:textId="77777777" w:rsidR="000E15B7" w:rsidRPr="00EC5748" w:rsidRDefault="000E15B7" w:rsidP="00EC5748">
            <w:pPr>
              <w:rPr>
                <w:rFonts w:eastAsia="Times New Roman"/>
                <w:color w:val="000000"/>
                <w:lang w:eastAsia="fr-CA"/>
              </w:rPr>
            </w:pPr>
          </w:p>
        </w:tc>
        <w:tc>
          <w:tcPr>
            <w:tcW w:w="1376" w:type="dxa"/>
            <w:tcBorders>
              <w:top w:val="single" w:sz="4" w:space="0" w:color="auto"/>
              <w:left w:val="nil"/>
              <w:bottom w:val="single" w:sz="4" w:space="0" w:color="auto"/>
            </w:tcBorders>
            <w:vAlign w:val="center"/>
            <w:hideMark/>
          </w:tcPr>
          <w:p w14:paraId="0139FBF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387" w:type="dxa"/>
            <w:tcBorders>
              <w:top w:val="single" w:sz="4" w:space="0" w:color="auto"/>
              <w:bottom w:val="single" w:sz="4" w:space="0" w:color="auto"/>
            </w:tcBorders>
            <w:vAlign w:val="center"/>
            <w:hideMark/>
          </w:tcPr>
          <w:p w14:paraId="2883F3B2"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2</w:t>
            </w:r>
          </w:p>
        </w:tc>
        <w:tc>
          <w:tcPr>
            <w:tcW w:w="1302" w:type="dxa"/>
            <w:tcBorders>
              <w:top w:val="single" w:sz="4" w:space="0" w:color="auto"/>
              <w:bottom w:val="single" w:sz="4" w:space="0" w:color="auto"/>
            </w:tcBorders>
            <w:vAlign w:val="center"/>
            <w:hideMark/>
          </w:tcPr>
          <w:p w14:paraId="6928B9A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5A66ED4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vMerge/>
            <w:tcBorders>
              <w:top w:val="nil"/>
              <w:right w:val="single" w:sz="4" w:space="0" w:color="auto"/>
            </w:tcBorders>
            <w:vAlign w:val="center"/>
            <w:hideMark/>
          </w:tcPr>
          <w:p w14:paraId="39AAC352" w14:textId="77777777" w:rsidR="000E15B7" w:rsidRPr="00EC5748" w:rsidRDefault="000E15B7" w:rsidP="00EC5748">
            <w:pPr>
              <w:rPr>
                <w:rFonts w:eastAsia="Times New Roman"/>
                <w:color w:val="000000"/>
                <w:lang w:eastAsia="fr-CA"/>
              </w:rPr>
            </w:pPr>
          </w:p>
        </w:tc>
      </w:tr>
      <w:tr w:rsidR="000E15B7" w:rsidRPr="00EC5748" w14:paraId="1B39A7E2" w14:textId="77777777" w:rsidTr="004E323E">
        <w:trPr>
          <w:trHeight w:val="288"/>
        </w:trPr>
        <w:tc>
          <w:tcPr>
            <w:tcW w:w="1985" w:type="dxa"/>
            <w:vMerge/>
            <w:tcBorders>
              <w:top w:val="nil"/>
              <w:left w:val="single" w:sz="4" w:space="0" w:color="auto"/>
            </w:tcBorders>
            <w:vAlign w:val="center"/>
            <w:hideMark/>
          </w:tcPr>
          <w:p w14:paraId="02D9574E" w14:textId="77777777" w:rsidR="000E15B7" w:rsidRPr="00EC5748" w:rsidRDefault="000E15B7" w:rsidP="00EC5748">
            <w:pPr>
              <w:rPr>
                <w:rFonts w:eastAsia="Times New Roman"/>
                <w:i/>
                <w:iCs/>
                <w:color w:val="000000"/>
                <w:lang w:eastAsia="fr-CA"/>
              </w:rPr>
            </w:pPr>
          </w:p>
        </w:tc>
        <w:tc>
          <w:tcPr>
            <w:tcW w:w="1632" w:type="dxa"/>
            <w:vMerge/>
            <w:tcBorders>
              <w:top w:val="nil"/>
            </w:tcBorders>
            <w:vAlign w:val="center"/>
            <w:hideMark/>
          </w:tcPr>
          <w:p w14:paraId="66F6FA77" w14:textId="77777777" w:rsidR="000E15B7" w:rsidRPr="00EC5748" w:rsidRDefault="000E15B7" w:rsidP="00EC5748">
            <w:pPr>
              <w:rPr>
                <w:rFonts w:eastAsia="Times New Roman"/>
                <w:color w:val="000000"/>
                <w:lang w:eastAsia="fr-CA"/>
              </w:rPr>
            </w:pPr>
          </w:p>
        </w:tc>
        <w:tc>
          <w:tcPr>
            <w:tcW w:w="1376" w:type="dxa"/>
            <w:tcBorders>
              <w:top w:val="single" w:sz="4" w:space="0" w:color="auto"/>
              <w:left w:val="nil"/>
              <w:bottom w:val="single" w:sz="4" w:space="0" w:color="auto"/>
            </w:tcBorders>
            <w:vAlign w:val="center"/>
            <w:hideMark/>
          </w:tcPr>
          <w:p w14:paraId="2BF38AB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387" w:type="dxa"/>
            <w:tcBorders>
              <w:top w:val="single" w:sz="4" w:space="0" w:color="auto"/>
              <w:bottom w:val="single" w:sz="4" w:space="0" w:color="auto"/>
            </w:tcBorders>
            <w:vAlign w:val="center"/>
            <w:hideMark/>
          </w:tcPr>
          <w:p w14:paraId="391E4788"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2</w:t>
            </w:r>
          </w:p>
        </w:tc>
        <w:tc>
          <w:tcPr>
            <w:tcW w:w="1302" w:type="dxa"/>
            <w:tcBorders>
              <w:top w:val="single" w:sz="4" w:space="0" w:color="auto"/>
              <w:bottom w:val="single" w:sz="4" w:space="0" w:color="auto"/>
            </w:tcBorders>
            <w:vAlign w:val="center"/>
            <w:hideMark/>
          </w:tcPr>
          <w:p w14:paraId="59AB023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1080378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vMerge/>
            <w:tcBorders>
              <w:top w:val="nil"/>
              <w:right w:val="single" w:sz="4" w:space="0" w:color="auto"/>
            </w:tcBorders>
            <w:vAlign w:val="center"/>
            <w:hideMark/>
          </w:tcPr>
          <w:p w14:paraId="21DFA13F" w14:textId="77777777" w:rsidR="000E15B7" w:rsidRPr="00EC5748" w:rsidRDefault="000E15B7" w:rsidP="00EC5748">
            <w:pPr>
              <w:rPr>
                <w:rFonts w:eastAsia="Times New Roman"/>
                <w:color w:val="000000"/>
                <w:lang w:eastAsia="fr-CA"/>
              </w:rPr>
            </w:pPr>
          </w:p>
        </w:tc>
      </w:tr>
      <w:tr w:rsidR="000E15B7" w:rsidRPr="00EC5748" w14:paraId="57F7A7B1" w14:textId="77777777" w:rsidTr="004E323E">
        <w:trPr>
          <w:trHeight w:val="288"/>
        </w:trPr>
        <w:tc>
          <w:tcPr>
            <w:tcW w:w="1985" w:type="dxa"/>
            <w:vMerge/>
            <w:tcBorders>
              <w:top w:val="nil"/>
              <w:left w:val="single" w:sz="4" w:space="0" w:color="auto"/>
            </w:tcBorders>
            <w:vAlign w:val="center"/>
            <w:hideMark/>
          </w:tcPr>
          <w:p w14:paraId="0DEA5336" w14:textId="77777777" w:rsidR="000E15B7" w:rsidRPr="00EC5748" w:rsidRDefault="000E15B7" w:rsidP="00EC5748">
            <w:pPr>
              <w:rPr>
                <w:rFonts w:eastAsia="Times New Roman"/>
                <w:i/>
                <w:iCs/>
                <w:color w:val="000000"/>
                <w:lang w:eastAsia="fr-CA"/>
              </w:rPr>
            </w:pPr>
          </w:p>
        </w:tc>
        <w:tc>
          <w:tcPr>
            <w:tcW w:w="1632" w:type="dxa"/>
            <w:vMerge/>
            <w:tcBorders>
              <w:top w:val="nil"/>
            </w:tcBorders>
            <w:vAlign w:val="center"/>
            <w:hideMark/>
          </w:tcPr>
          <w:p w14:paraId="7186E461" w14:textId="77777777" w:rsidR="000E15B7" w:rsidRPr="00EC5748" w:rsidRDefault="000E15B7" w:rsidP="00EC5748">
            <w:pPr>
              <w:rPr>
                <w:rFonts w:eastAsia="Times New Roman"/>
                <w:color w:val="000000"/>
                <w:lang w:eastAsia="fr-CA"/>
              </w:rPr>
            </w:pPr>
          </w:p>
        </w:tc>
        <w:tc>
          <w:tcPr>
            <w:tcW w:w="1376" w:type="dxa"/>
            <w:tcBorders>
              <w:top w:val="single" w:sz="4" w:space="0" w:color="auto"/>
              <w:left w:val="nil"/>
              <w:bottom w:val="single" w:sz="4" w:space="0" w:color="auto"/>
            </w:tcBorders>
            <w:vAlign w:val="center"/>
            <w:hideMark/>
          </w:tcPr>
          <w:p w14:paraId="5EF44C0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387" w:type="dxa"/>
            <w:tcBorders>
              <w:top w:val="single" w:sz="4" w:space="0" w:color="auto"/>
              <w:bottom w:val="single" w:sz="4" w:space="0" w:color="auto"/>
            </w:tcBorders>
            <w:vAlign w:val="center"/>
            <w:hideMark/>
          </w:tcPr>
          <w:p w14:paraId="5D16A7CD"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2</w:t>
            </w:r>
          </w:p>
        </w:tc>
        <w:tc>
          <w:tcPr>
            <w:tcW w:w="1302" w:type="dxa"/>
            <w:tcBorders>
              <w:top w:val="single" w:sz="4" w:space="0" w:color="auto"/>
              <w:bottom w:val="single" w:sz="4" w:space="0" w:color="auto"/>
            </w:tcBorders>
            <w:vAlign w:val="center"/>
            <w:hideMark/>
          </w:tcPr>
          <w:p w14:paraId="493040D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5B3411A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vMerge/>
            <w:tcBorders>
              <w:top w:val="nil"/>
              <w:bottom w:val="single" w:sz="4" w:space="0" w:color="auto"/>
              <w:right w:val="single" w:sz="4" w:space="0" w:color="auto"/>
            </w:tcBorders>
            <w:vAlign w:val="center"/>
            <w:hideMark/>
          </w:tcPr>
          <w:p w14:paraId="7796318B" w14:textId="77777777" w:rsidR="000E15B7" w:rsidRPr="00EC5748" w:rsidRDefault="000E15B7" w:rsidP="00EC5748">
            <w:pPr>
              <w:rPr>
                <w:rFonts w:eastAsia="Times New Roman"/>
                <w:color w:val="000000"/>
                <w:lang w:eastAsia="fr-CA"/>
              </w:rPr>
            </w:pPr>
          </w:p>
        </w:tc>
      </w:tr>
      <w:tr w:rsidR="000E15B7" w:rsidRPr="00EC5748" w14:paraId="7F4236EE" w14:textId="77777777" w:rsidTr="004E323E">
        <w:trPr>
          <w:trHeight w:val="288"/>
        </w:trPr>
        <w:tc>
          <w:tcPr>
            <w:tcW w:w="1985" w:type="dxa"/>
            <w:vMerge/>
            <w:tcBorders>
              <w:top w:val="nil"/>
              <w:left w:val="single" w:sz="4" w:space="0" w:color="auto"/>
            </w:tcBorders>
            <w:vAlign w:val="center"/>
            <w:hideMark/>
          </w:tcPr>
          <w:p w14:paraId="52E9176D" w14:textId="77777777" w:rsidR="000E15B7" w:rsidRPr="00EC5748" w:rsidRDefault="000E15B7" w:rsidP="00EC5748">
            <w:pPr>
              <w:rPr>
                <w:rFonts w:eastAsia="Times New Roman"/>
                <w:i/>
                <w:iCs/>
                <w:color w:val="000000"/>
                <w:lang w:eastAsia="fr-CA"/>
              </w:rPr>
            </w:pPr>
          </w:p>
        </w:tc>
        <w:tc>
          <w:tcPr>
            <w:tcW w:w="1632" w:type="dxa"/>
            <w:vMerge/>
            <w:tcBorders>
              <w:top w:val="nil"/>
            </w:tcBorders>
            <w:vAlign w:val="center"/>
            <w:hideMark/>
          </w:tcPr>
          <w:p w14:paraId="5334A08A" w14:textId="77777777" w:rsidR="000E15B7" w:rsidRPr="00EC5748" w:rsidRDefault="000E15B7" w:rsidP="00EC5748">
            <w:pPr>
              <w:rPr>
                <w:rFonts w:eastAsia="Times New Roman"/>
                <w:color w:val="000000"/>
                <w:lang w:eastAsia="fr-CA"/>
              </w:rPr>
            </w:pPr>
          </w:p>
        </w:tc>
        <w:tc>
          <w:tcPr>
            <w:tcW w:w="1376" w:type="dxa"/>
            <w:tcBorders>
              <w:top w:val="single" w:sz="4" w:space="0" w:color="auto"/>
              <w:left w:val="nil"/>
              <w:bottom w:val="single" w:sz="4" w:space="0" w:color="auto"/>
            </w:tcBorders>
            <w:vAlign w:val="center"/>
            <w:hideMark/>
          </w:tcPr>
          <w:p w14:paraId="24FFB63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387" w:type="dxa"/>
            <w:tcBorders>
              <w:top w:val="single" w:sz="4" w:space="0" w:color="auto"/>
              <w:bottom w:val="single" w:sz="4" w:space="0" w:color="auto"/>
            </w:tcBorders>
            <w:vAlign w:val="center"/>
            <w:hideMark/>
          </w:tcPr>
          <w:p w14:paraId="00FDF490"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2</w:t>
            </w:r>
          </w:p>
        </w:tc>
        <w:tc>
          <w:tcPr>
            <w:tcW w:w="1302" w:type="dxa"/>
            <w:tcBorders>
              <w:top w:val="single" w:sz="4" w:space="0" w:color="auto"/>
              <w:bottom w:val="single" w:sz="4" w:space="0" w:color="auto"/>
            </w:tcBorders>
            <w:vAlign w:val="center"/>
            <w:hideMark/>
          </w:tcPr>
          <w:p w14:paraId="299BDB9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5B4491F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tcBorders>
              <w:top w:val="single" w:sz="4" w:space="0" w:color="auto"/>
              <w:bottom w:val="single" w:sz="4" w:space="0" w:color="auto"/>
              <w:right w:val="single" w:sz="4" w:space="0" w:color="auto"/>
            </w:tcBorders>
            <w:vAlign w:val="center"/>
            <w:hideMark/>
          </w:tcPr>
          <w:p w14:paraId="70A18397" w14:textId="555261E0" w:rsidR="000E15B7" w:rsidRPr="00EC5748" w:rsidRDefault="00862C22" w:rsidP="00862C22">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31D9D6EB" w14:textId="77777777" w:rsidTr="004E323E">
        <w:trPr>
          <w:trHeight w:val="288"/>
        </w:trPr>
        <w:tc>
          <w:tcPr>
            <w:tcW w:w="1985" w:type="dxa"/>
            <w:vMerge/>
            <w:tcBorders>
              <w:top w:val="nil"/>
              <w:left w:val="single" w:sz="4" w:space="0" w:color="auto"/>
            </w:tcBorders>
            <w:vAlign w:val="center"/>
            <w:hideMark/>
          </w:tcPr>
          <w:p w14:paraId="2A424B10" w14:textId="77777777" w:rsidR="000E15B7" w:rsidRPr="00EC5748" w:rsidRDefault="000E15B7" w:rsidP="00EC5748">
            <w:pPr>
              <w:rPr>
                <w:rFonts w:eastAsia="Times New Roman"/>
                <w:i/>
                <w:iCs/>
                <w:color w:val="000000"/>
                <w:lang w:eastAsia="fr-CA"/>
              </w:rPr>
            </w:pPr>
          </w:p>
        </w:tc>
        <w:tc>
          <w:tcPr>
            <w:tcW w:w="1632" w:type="dxa"/>
            <w:vMerge w:val="restart"/>
            <w:tcBorders>
              <w:bottom w:val="single" w:sz="4" w:space="0" w:color="auto"/>
            </w:tcBorders>
            <w:vAlign w:val="center"/>
            <w:hideMark/>
          </w:tcPr>
          <w:p w14:paraId="4C466F5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Capitale-Nationale</w:t>
            </w:r>
          </w:p>
        </w:tc>
        <w:tc>
          <w:tcPr>
            <w:tcW w:w="1376" w:type="dxa"/>
            <w:tcBorders>
              <w:top w:val="single" w:sz="4" w:space="0" w:color="auto"/>
              <w:bottom w:val="single" w:sz="4" w:space="0" w:color="auto"/>
            </w:tcBorders>
            <w:vAlign w:val="center"/>
            <w:hideMark/>
          </w:tcPr>
          <w:p w14:paraId="452B38B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387" w:type="dxa"/>
            <w:tcBorders>
              <w:top w:val="single" w:sz="4" w:space="0" w:color="auto"/>
              <w:bottom w:val="single" w:sz="4" w:space="0" w:color="auto"/>
            </w:tcBorders>
            <w:vAlign w:val="center"/>
            <w:hideMark/>
          </w:tcPr>
          <w:p w14:paraId="262BE74D"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w:t>
            </w:r>
          </w:p>
        </w:tc>
        <w:tc>
          <w:tcPr>
            <w:tcW w:w="1302" w:type="dxa"/>
            <w:tcBorders>
              <w:top w:val="single" w:sz="4" w:space="0" w:color="auto"/>
              <w:bottom w:val="single" w:sz="4" w:space="0" w:color="auto"/>
            </w:tcBorders>
            <w:vAlign w:val="center"/>
            <w:hideMark/>
          </w:tcPr>
          <w:p w14:paraId="7D55437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4B0B46C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vMerge w:val="restart"/>
            <w:tcBorders>
              <w:top w:val="single" w:sz="4" w:space="0" w:color="auto"/>
              <w:right w:val="single" w:sz="4" w:space="0" w:color="auto"/>
            </w:tcBorders>
            <w:vAlign w:val="center"/>
            <w:hideMark/>
          </w:tcPr>
          <w:p w14:paraId="0AA688C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r>
      <w:tr w:rsidR="000E15B7" w:rsidRPr="00EC5748" w14:paraId="2686BD0F" w14:textId="77777777" w:rsidTr="004E323E">
        <w:trPr>
          <w:trHeight w:val="288"/>
        </w:trPr>
        <w:tc>
          <w:tcPr>
            <w:tcW w:w="1985" w:type="dxa"/>
            <w:vMerge/>
            <w:tcBorders>
              <w:top w:val="nil"/>
              <w:left w:val="single" w:sz="4" w:space="0" w:color="auto"/>
            </w:tcBorders>
            <w:vAlign w:val="center"/>
            <w:hideMark/>
          </w:tcPr>
          <w:p w14:paraId="0D16B7B0" w14:textId="77777777" w:rsidR="000E15B7" w:rsidRPr="00EC5748" w:rsidRDefault="000E15B7" w:rsidP="00EC5748">
            <w:pPr>
              <w:rPr>
                <w:rFonts w:eastAsia="Times New Roman"/>
                <w:i/>
                <w:iCs/>
                <w:color w:val="000000"/>
                <w:lang w:eastAsia="fr-CA"/>
              </w:rPr>
            </w:pPr>
          </w:p>
        </w:tc>
        <w:tc>
          <w:tcPr>
            <w:tcW w:w="1632" w:type="dxa"/>
            <w:vMerge/>
            <w:tcBorders>
              <w:top w:val="nil"/>
              <w:bottom w:val="single" w:sz="4" w:space="0" w:color="auto"/>
            </w:tcBorders>
            <w:vAlign w:val="center"/>
            <w:hideMark/>
          </w:tcPr>
          <w:p w14:paraId="3B9184E6"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58A43A9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387" w:type="dxa"/>
            <w:tcBorders>
              <w:top w:val="single" w:sz="4" w:space="0" w:color="auto"/>
              <w:bottom w:val="single" w:sz="4" w:space="0" w:color="auto"/>
            </w:tcBorders>
            <w:vAlign w:val="center"/>
            <w:hideMark/>
          </w:tcPr>
          <w:p w14:paraId="2F6917FD"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w:t>
            </w:r>
          </w:p>
        </w:tc>
        <w:tc>
          <w:tcPr>
            <w:tcW w:w="1302" w:type="dxa"/>
            <w:tcBorders>
              <w:top w:val="single" w:sz="4" w:space="0" w:color="auto"/>
              <w:bottom w:val="single" w:sz="4" w:space="0" w:color="auto"/>
            </w:tcBorders>
            <w:vAlign w:val="center"/>
            <w:hideMark/>
          </w:tcPr>
          <w:p w14:paraId="6DCA09E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7AEB615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vMerge/>
            <w:tcBorders>
              <w:top w:val="nil"/>
              <w:right w:val="single" w:sz="4" w:space="0" w:color="auto"/>
            </w:tcBorders>
            <w:vAlign w:val="center"/>
            <w:hideMark/>
          </w:tcPr>
          <w:p w14:paraId="33037405" w14:textId="77777777" w:rsidR="000E15B7" w:rsidRPr="00EC5748" w:rsidRDefault="000E15B7" w:rsidP="00EC5748">
            <w:pPr>
              <w:rPr>
                <w:rFonts w:eastAsia="Times New Roman"/>
                <w:color w:val="000000"/>
                <w:lang w:eastAsia="fr-CA"/>
              </w:rPr>
            </w:pPr>
          </w:p>
        </w:tc>
      </w:tr>
      <w:tr w:rsidR="000E15B7" w:rsidRPr="00EC5748" w14:paraId="609AECF9" w14:textId="77777777" w:rsidTr="004E323E">
        <w:trPr>
          <w:trHeight w:val="288"/>
        </w:trPr>
        <w:tc>
          <w:tcPr>
            <w:tcW w:w="1985" w:type="dxa"/>
            <w:vMerge/>
            <w:tcBorders>
              <w:top w:val="nil"/>
              <w:left w:val="single" w:sz="4" w:space="0" w:color="auto"/>
            </w:tcBorders>
            <w:vAlign w:val="center"/>
            <w:hideMark/>
          </w:tcPr>
          <w:p w14:paraId="1A0FA8BE" w14:textId="77777777" w:rsidR="000E15B7" w:rsidRPr="00EC5748" w:rsidRDefault="000E15B7" w:rsidP="00EC5748">
            <w:pPr>
              <w:rPr>
                <w:rFonts w:eastAsia="Times New Roman"/>
                <w:i/>
                <w:iCs/>
                <w:color w:val="000000"/>
                <w:lang w:eastAsia="fr-CA"/>
              </w:rPr>
            </w:pPr>
          </w:p>
        </w:tc>
        <w:tc>
          <w:tcPr>
            <w:tcW w:w="1632" w:type="dxa"/>
            <w:vMerge/>
            <w:tcBorders>
              <w:top w:val="nil"/>
              <w:bottom w:val="single" w:sz="4" w:space="0" w:color="auto"/>
            </w:tcBorders>
            <w:vAlign w:val="center"/>
            <w:hideMark/>
          </w:tcPr>
          <w:p w14:paraId="65C92EA7"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720FAE4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387" w:type="dxa"/>
            <w:tcBorders>
              <w:top w:val="single" w:sz="4" w:space="0" w:color="auto"/>
              <w:bottom w:val="single" w:sz="4" w:space="0" w:color="auto"/>
            </w:tcBorders>
            <w:vAlign w:val="center"/>
            <w:hideMark/>
          </w:tcPr>
          <w:p w14:paraId="5E9D01E7"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w:t>
            </w:r>
          </w:p>
        </w:tc>
        <w:tc>
          <w:tcPr>
            <w:tcW w:w="1302" w:type="dxa"/>
            <w:tcBorders>
              <w:top w:val="single" w:sz="4" w:space="0" w:color="auto"/>
              <w:bottom w:val="single" w:sz="4" w:space="0" w:color="auto"/>
            </w:tcBorders>
            <w:vAlign w:val="center"/>
            <w:hideMark/>
          </w:tcPr>
          <w:p w14:paraId="485ED25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78B8EC4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vMerge/>
            <w:tcBorders>
              <w:top w:val="nil"/>
              <w:right w:val="single" w:sz="4" w:space="0" w:color="auto"/>
            </w:tcBorders>
            <w:vAlign w:val="center"/>
            <w:hideMark/>
          </w:tcPr>
          <w:p w14:paraId="694D96B1" w14:textId="77777777" w:rsidR="000E15B7" w:rsidRPr="00EC5748" w:rsidRDefault="000E15B7" w:rsidP="00EC5748">
            <w:pPr>
              <w:rPr>
                <w:rFonts w:eastAsia="Times New Roman"/>
                <w:color w:val="000000"/>
                <w:lang w:eastAsia="fr-CA"/>
              </w:rPr>
            </w:pPr>
          </w:p>
        </w:tc>
      </w:tr>
      <w:tr w:rsidR="000E15B7" w:rsidRPr="00EC5748" w14:paraId="493C9509" w14:textId="77777777" w:rsidTr="004E323E">
        <w:trPr>
          <w:trHeight w:val="288"/>
        </w:trPr>
        <w:tc>
          <w:tcPr>
            <w:tcW w:w="1985" w:type="dxa"/>
            <w:vMerge/>
            <w:tcBorders>
              <w:top w:val="nil"/>
              <w:left w:val="single" w:sz="4" w:space="0" w:color="auto"/>
            </w:tcBorders>
            <w:vAlign w:val="center"/>
            <w:hideMark/>
          </w:tcPr>
          <w:p w14:paraId="32820325" w14:textId="77777777" w:rsidR="000E15B7" w:rsidRPr="00EC5748" w:rsidRDefault="000E15B7" w:rsidP="00EC5748">
            <w:pPr>
              <w:rPr>
                <w:rFonts w:eastAsia="Times New Roman"/>
                <w:i/>
                <w:iCs/>
                <w:color w:val="000000"/>
                <w:lang w:eastAsia="fr-CA"/>
              </w:rPr>
            </w:pPr>
          </w:p>
        </w:tc>
        <w:tc>
          <w:tcPr>
            <w:tcW w:w="1632" w:type="dxa"/>
            <w:vMerge/>
            <w:tcBorders>
              <w:top w:val="nil"/>
              <w:bottom w:val="single" w:sz="4" w:space="0" w:color="auto"/>
            </w:tcBorders>
            <w:vAlign w:val="center"/>
            <w:hideMark/>
          </w:tcPr>
          <w:p w14:paraId="40BF717E"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0B71BA7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387" w:type="dxa"/>
            <w:tcBorders>
              <w:top w:val="single" w:sz="4" w:space="0" w:color="auto"/>
              <w:bottom w:val="single" w:sz="4" w:space="0" w:color="auto"/>
            </w:tcBorders>
            <w:vAlign w:val="center"/>
            <w:hideMark/>
          </w:tcPr>
          <w:p w14:paraId="250AB927"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w:t>
            </w:r>
          </w:p>
        </w:tc>
        <w:tc>
          <w:tcPr>
            <w:tcW w:w="1302" w:type="dxa"/>
            <w:tcBorders>
              <w:top w:val="single" w:sz="4" w:space="0" w:color="auto"/>
              <w:bottom w:val="single" w:sz="4" w:space="0" w:color="auto"/>
            </w:tcBorders>
            <w:vAlign w:val="center"/>
            <w:hideMark/>
          </w:tcPr>
          <w:p w14:paraId="276DCBC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3A30985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vMerge/>
            <w:tcBorders>
              <w:top w:val="nil"/>
              <w:bottom w:val="single" w:sz="4" w:space="0" w:color="auto"/>
              <w:right w:val="single" w:sz="4" w:space="0" w:color="auto"/>
            </w:tcBorders>
            <w:vAlign w:val="center"/>
            <w:hideMark/>
          </w:tcPr>
          <w:p w14:paraId="75514121" w14:textId="77777777" w:rsidR="000E15B7" w:rsidRPr="00EC5748" w:rsidRDefault="000E15B7" w:rsidP="00EC5748">
            <w:pPr>
              <w:rPr>
                <w:rFonts w:eastAsia="Times New Roman"/>
                <w:color w:val="000000"/>
                <w:lang w:eastAsia="fr-CA"/>
              </w:rPr>
            </w:pPr>
          </w:p>
        </w:tc>
      </w:tr>
      <w:tr w:rsidR="000E15B7" w:rsidRPr="00EC5748" w14:paraId="0AFC92A3" w14:textId="77777777" w:rsidTr="004E323E">
        <w:trPr>
          <w:trHeight w:val="288"/>
        </w:trPr>
        <w:tc>
          <w:tcPr>
            <w:tcW w:w="1985" w:type="dxa"/>
            <w:vMerge/>
            <w:tcBorders>
              <w:top w:val="nil"/>
              <w:left w:val="single" w:sz="4" w:space="0" w:color="auto"/>
            </w:tcBorders>
            <w:vAlign w:val="center"/>
            <w:hideMark/>
          </w:tcPr>
          <w:p w14:paraId="342E5276" w14:textId="77777777" w:rsidR="000E15B7" w:rsidRPr="00EC5748" w:rsidRDefault="000E15B7" w:rsidP="00EC5748">
            <w:pPr>
              <w:rPr>
                <w:rFonts w:eastAsia="Times New Roman"/>
                <w:i/>
                <w:iCs/>
                <w:color w:val="000000"/>
                <w:lang w:eastAsia="fr-CA"/>
              </w:rPr>
            </w:pPr>
          </w:p>
        </w:tc>
        <w:tc>
          <w:tcPr>
            <w:tcW w:w="1632" w:type="dxa"/>
            <w:vMerge/>
            <w:tcBorders>
              <w:top w:val="nil"/>
              <w:bottom w:val="single" w:sz="4" w:space="0" w:color="auto"/>
            </w:tcBorders>
            <w:vAlign w:val="center"/>
            <w:hideMark/>
          </w:tcPr>
          <w:p w14:paraId="701E4AB0"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5524294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387" w:type="dxa"/>
            <w:tcBorders>
              <w:top w:val="single" w:sz="4" w:space="0" w:color="auto"/>
              <w:bottom w:val="single" w:sz="4" w:space="0" w:color="auto"/>
            </w:tcBorders>
            <w:vAlign w:val="center"/>
            <w:hideMark/>
          </w:tcPr>
          <w:p w14:paraId="674FDBC2"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w:t>
            </w:r>
          </w:p>
        </w:tc>
        <w:tc>
          <w:tcPr>
            <w:tcW w:w="1302" w:type="dxa"/>
            <w:tcBorders>
              <w:top w:val="single" w:sz="4" w:space="0" w:color="auto"/>
              <w:bottom w:val="single" w:sz="4" w:space="0" w:color="auto"/>
            </w:tcBorders>
            <w:vAlign w:val="center"/>
            <w:hideMark/>
          </w:tcPr>
          <w:p w14:paraId="7DAE9B4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2E890CE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tcBorders>
              <w:top w:val="single" w:sz="4" w:space="0" w:color="auto"/>
              <w:bottom w:val="single" w:sz="4" w:space="0" w:color="auto"/>
              <w:right w:val="single" w:sz="4" w:space="0" w:color="auto"/>
            </w:tcBorders>
            <w:vAlign w:val="center"/>
            <w:hideMark/>
          </w:tcPr>
          <w:p w14:paraId="5ABFCBDC" w14:textId="0C1F432A" w:rsidR="000E15B7" w:rsidRPr="00EC5748" w:rsidRDefault="00862C22" w:rsidP="00862C22">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376AD621" w14:textId="77777777" w:rsidTr="004E323E">
        <w:trPr>
          <w:trHeight w:val="288"/>
        </w:trPr>
        <w:tc>
          <w:tcPr>
            <w:tcW w:w="1985" w:type="dxa"/>
            <w:vMerge/>
            <w:tcBorders>
              <w:top w:val="nil"/>
              <w:left w:val="single" w:sz="4" w:space="0" w:color="auto"/>
            </w:tcBorders>
            <w:vAlign w:val="center"/>
            <w:hideMark/>
          </w:tcPr>
          <w:p w14:paraId="16923748" w14:textId="77777777" w:rsidR="000E15B7" w:rsidRPr="00EC5748" w:rsidRDefault="000E15B7" w:rsidP="00EC5748">
            <w:pPr>
              <w:rPr>
                <w:rFonts w:eastAsia="Times New Roman"/>
                <w:i/>
                <w:iCs/>
                <w:color w:val="000000"/>
                <w:lang w:eastAsia="fr-CA"/>
              </w:rPr>
            </w:pPr>
          </w:p>
        </w:tc>
        <w:tc>
          <w:tcPr>
            <w:tcW w:w="1632" w:type="dxa"/>
            <w:vMerge w:val="restart"/>
            <w:tcBorders>
              <w:top w:val="single" w:sz="4" w:space="0" w:color="auto"/>
              <w:bottom w:val="single" w:sz="4" w:space="0" w:color="auto"/>
            </w:tcBorders>
            <w:vAlign w:val="center"/>
            <w:hideMark/>
          </w:tcPr>
          <w:p w14:paraId="025F844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Côte-Nord</w:t>
            </w:r>
          </w:p>
        </w:tc>
        <w:tc>
          <w:tcPr>
            <w:tcW w:w="1376" w:type="dxa"/>
            <w:tcBorders>
              <w:top w:val="single" w:sz="4" w:space="0" w:color="auto"/>
              <w:bottom w:val="single" w:sz="4" w:space="0" w:color="auto"/>
            </w:tcBorders>
            <w:vAlign w:val="center"/>
            <w:hideMark/>
          </w:tcPr>
          <w:p w14:paraId="25613C7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387" w:type="dxa"/>
            <w:tcBorders>
              <w:top w:val="single" w:sz="4" w:space="0" w:color="auto"/>
              <w:bottom w:val="single" w:sz="4" w:space="0" w:color="auto"/>
            </w:tcBorders>
            <w:vAlign w:val="center"/>
            <w:hideMark/>
          </w:tcPr>
          <w:p w14:paraId="1E59FB20"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w:t>
            </w:r>
          </w:p>
        </w:tc>
        <w:tc>
          <w:tcPr>
            <w:tcW w:w="1302" w:type="dxa"/>
            <w:tcBorders>
              <w:top w:val="single" w:sz="4" w:space="0" w:color="auto"/>
              <w:bottom w:val="single" w:sz="4" w:space="0" w:color="auto"/>
            </w:tcBorders>
            <w:vAlign w:val="center"/>
            <w:hideMark/>
          </w:tcPr>
          <w:p w14:paraId="7D03CD3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15E3D77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vMerge w:val="restart"/>
            <w:tcBorders>
              <w:top w:val="single" w:sz="4" w:space="0" w:color="auto"/>
              <w:right w:val="single" w:sz="4" w:space="0" w:color="auto"/>
            </w:tcBorders>
            <w:vAlign w:val="center"/>
            <w:hideMark/>
          </w:tcPr>
          <w:p w14:paraId="60CD19F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r>
      <w:tr w:rsidR="000E15B7" w:rsidRPr="00EC5748" w14:paraId="23721425" w14:textId="77777777" w:rsidTr="004E323E">
        <w:trPr>
          <w:trHeight w:val="288"/>
        </w:trPr>
        <w:tc>
          <w:tcPr>
            <w:tcW w:w="1985" w:type="dxa"/>
            <w:vMerge/>
            <w:tcBorders>
              <w:top w:val="nil"/>
              <w:left w:val="single" w:sz="4" w:space="0" w:color="auto"/>
            </w:tcBorders>
            <w:vAlign w:val="center"/>
            <w:hideMark/>
          </w:tcPr>
          <w:p w14:paraId="18A573F3" w14:textId="77777777" w:rsidR="000E15B7" w:rsidRPr="00EC5748" w:rsidRDefault="000E15B7" w:rsidP="00EC5748">
            <w:pPr>
              <w:rPr>
                <w:rFonts w:eastAsia="Times New Roman"/>
                <w:i/>
                <w:iCs/>
                <w:color w:val="000000"/>
                <w:lang w:eastAsia="fr-CA"/>
              </w:rPr>
            </w:pPr>
          </w:p>
        </w:tc>
        <w:tc>
          <w:tcPr>
            <w:tcW w:w="1632" w:type="dxa"/>
            <w:vMerge/>
            <w:tcBorders>
              <w:top w:val="nil"/>
              <w:bottom w:val="single" w:sz="4" w:space="0" w:color="auto"/>
            </w:tcBorders>
            <w:vAlign w:val="center"/>
            <w:hideMark/>
          </w:tcPr>
          <w:p w14:paraId="1E5E0174"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176A804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387" w:type="dxa"/>
            <w:tcBorders>
              <w:top w:val="single" w:sz="4" w:space="0" w:color="auto"/>
              <w:bottom w:val="single" w:sz="4" w:space="0" w:color="auto"/>
            </w:tcBorders>
            <w:vAlign w:val="center"/>
            <w:hideMark/>
          </w:tcPr>
          <w:p w14:paraId="6BC71188"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w:t>
            </w:r>
          </w:p>
        </w:tc>
        <w:tc>
          <w:tcPr>
            <w:tcW w:w="1302" w:type="dxa"/>
            <w:tcBorders>
              <w:top w:val="single" w:sz="4" w:space="0" w:color="auto"/>
              <w:bottom w:val="single" w:sz="4" w:space="0" w:color="auto"/>
            </w:tcBorders>
            <w:vAlign w:val="center"/>
            <w:hideMark/>
          </w:tcPr>
          <w:p w14:paraId="4EF8790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2D47EDA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vMerge/>
            <w:tcBorders>
              <w:top w:val="nil"/>
              <w:right w:val="single" w:sz="4" w:space="0" w:color="auto"/>
            </w:tcBorders>
            <w:vAlign w:val="center"/>
            <w:hideMark/>
          </w:tcPr>
          <w:p w14:paraId="3B7570B8" w14:textId="77777777" w:rsidR="000E15B7" w:rsidRPr="00EC5748" w:rsidRDefault="000E15B7" w:rsidP="00EC5748">
            <w:pPr>
              <w:rPr>
                <w:rFonts w:eastAsia="Times New Roman"/>
                <w:color w:val="000000"/>
                <w:lang w:eastAsia="fr-CA"/>
              </w:rPr>
            </w:pPr>
          </w:p>
        </w:tc>
      </w:tr>
      <w:tr w:rsidR="000E15B7" w:rsidRPr="00EC5748" w14:paraId="517B2188" w14:textId="77777777" w:rsidTr="004E323E">
        <w:trPr>
          <w:trHeight w:val="288"/>
        </w:trPr>
        <w:tc>
          <w:tcPr>
            <w:tcW w:w="1985" w:type="dxa"/>
            <w:vMerge/>
            <w:tcBorders>
              <w:top w:val="nil"/>
              <w:left w:val="single" w:sz="4" w:space="0" w:color="auto"/>
            </w:tcBorders>
            <w:vAlign w:val="center"/>
            <w:hideMark/>
          </w:tcPr>
          <w:p w14:paraId="6A7B85FD" w14:textId="77777777" w:rsidR="000E15B7" w:rsidRPr="00EC5748" w:rsidRDefault="000E15B7" w:rsidP="00EC5748">
            <w:pPr>
              <w:rPr>
                <w:rFonts w:eastAsia="Times New Roman"/>
                <w:i/>
                <w:iCs/>
                <w:color w:val="000000"/>
                <w:lang w:eastAsia="fr-CA"/>
              </w:rPr>
            </w:pPr>
          </w:p>
        </w:tc>
        <w:tc>
          <w:tcPr>
            <w:tcW w:w="1632" w:type="dxa"/>
            <w:vMerge/>
            <w:tcBorders>
              <w:top w:val="nil"/>
              <w:bottom w:val="single" w:sz="4" w:space="0" w:color="auto"/>
            </w:tcBorders>
            <w:vAlign w:val="center"/>
            <w:hideMark/>
          </w:tcPr>
          <w:p w14:paraId="1FD01DBE"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0E11CBE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387" w:type="dxa"/>
            <w:tcBorders>
              <w:top w:val="single" w:sz="4" w:space="0" w:color="auto"/>
              <w:bottom w:val="single" w:sz="4" w:space="0" w:color="auto"/>
            </w:tcBorders>
            <w:vAlign w:val="center"/>
            <w:hideMark/>
          </w:tcPr>
          <w:p w14:paraId="5BC83A81"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0</w:t>
            </w:r>
          </w:p>
        </w:tc>
        <w:tc>
          <w:tcPr>
            <w:tcW w:w="1302" w:type="dxa"/>
            <w:tcBorders>
              <w:top w:val="single" w:sz="4" w:space="0" w:color="auto"/>
              <w:bottom w:val="single" w:sz="4" w:space="0" w:color="auto"/>
            </w:tcBorders>
            <w:vAlign w:val="center"/>
            <w:hideMark/>
          </w:tcPr>
          <w:p w14:paraId="2B793BA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64F373B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vMerge/>
            <w:tcBorders>
              <w:top w:val="nil"/>
              <w:right w:val="single" w:sz="4" w:space="0" w:color="auto"/>
            </w:tcBorders>
            <w:vAlign w:val="center"/>
            <w:hideMark/>
          </w:tcPr>
          <w:p w14:paraId="6AAB8786" w14:textId="77777777" w:rsidR="000E15B7" w:rsidRPr="00EC5748" w:rsidRDefault="000E15B7" w:rsidP="00EC5748">
            <w:pPr>
              <w:rPr>
                <w:rFonts w:eastAsia="Times New Roman"/>
                <w:color w:val="000000"/>
                <w:lang w:eastAsia="fr-CA"/>
              </w:rPr>
            </w:pPr>
          </w:p>
        </w:tc>
      </w:tr>
      <w:tr w:rsidR="000E15B7" w:rsidRPr="00EC5748" w14:paraId="63548404" w14:textId="77777777" w:rsidTr="004E323E">
        <w:trPr>
          <w:trHeight w:val="288"/>
        </w:trPr>
        <w:tc>
          <w:tcPr>
            <w:tcW w:w="1985" w:type="dxa"/>
            <w:vMerge/>
            <w:tcBorders>
              <w:top w:val="nil"/>
              <w:left w:val="single" w:sz="4" w:space="0" w:color="auto"/>
            </w:tcBorders>
            <w:vAlign w:val="center"/>
            <w:hideMark/>
          </w:tcPr>
          <w:p w14:paraId="7BC22FED" w14:textId="77777777" w:rsidR="000E15B7" w:rsidRPr="00EC5748" w:rsidRDefault="000E15B7" w:rsidP="00EC5748">
            <w:pPr>
              <w:rPr>
                <w:rFonts w:eastAsia="Times New Roman"/>
                <w:i/>
                <w:iCs/>
                <w:color w:val="000000"/>
                <w:lang w:eastAsia="fr-CA"/>
              </w:rPr>
            </w:pPr>
          </w:p>
        </w:tc>
        <w:tc>
          <w:tcPr>
            <w:tcW w:w="1632" w:type="dxa"/>
            <w:vMerge/>
            <w:tcBorders>
              <w:top w:val="single" w:sz="4" w:space="0" w:color="auto"/>
              <w:bottom w:val="single" w:sz="4" w:space="0" w:color="auto"/>
            </w:tcBorders>
            <w:vAlign w:val="center"/>
            <w:hideMark/>
          </w:tcPr>
          <w:p w14:paraId="63B588E9"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46524F8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387" w:type="dxa"/>
            <w:tcBorders>
              <w:top w:val="single" w:sz="4" w:space="0" w:color="auto"/>
              <w:bottom w:val="single" w:sz="4" w:space="0" w:color="auto"/>
            </w:tcBorders>
            <w:vAlign w:val="center"/>
            <w:hideMark/>
          </w:tcPr>
          <w:p w14:paraId="5EC2A631"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w:t>
            </w:r>
          </w:p>
        </w:tc>
        <w:tc>
          <w:tcPr>
            <w:tcW w:w="1302" w:type="dxa"/>
            <w:tcBorders>
              <w:top w:val="single" w:sz="4" w:space="0" w:color="auto"/>
              <w:bottom w:val="single" w:sz="4" w:space="0" w:color="auto"/>
            </w:tcBorders>
            <w:vAlign w:val="center"/>
            <w:hideMark/>
          </w:tcPr>
          <w:p w14:paraId="6C6E9B1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6A3F98E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vMerge/>
            <w:tcBorders>
              <w:top w:val="nil"/>
              <w:bottom w:val="single" w:sz="4" w:space="0" w:color="auto"/>
              <w:right w:val="single" w:sz="4" w:space="0" w:color="auto"/>
            </w:tcBorders>
            <w:vAlign w:val="center"/>
            <w:hideMark/>
          </w:tcPr>
          <w:p w14:paraId="24DA3CA0" w14:textId="77777777" w:rsidR="000E15B7" w:rsidRPr="00EC5748" w:rsidRDefault="000E15B7" w:rsidP="00EC5748">
            <w:pPr>
              <w:rPr>
                <w:rFonts w:eastAsia="Times New Roman"/>
                <w:color w:val="000000"/>
                <w:lang w:eastAsia="fr-CA"/>
              </w:rPr>
            </w:pPr>
          </w:p>
        </w:tc>
      </w:tr>
      <w:tr w:rsidR="000E15B7" w:rsidRPr="00EC5748" w14:paraId="1233D07B" w14:textId="77777777" w:rsidTr="004E323E">
        <w:trPr>
          <w:trHeight w:val="288"/>
        </w:trPr>
        <w:tc>
          <w:tcPr>
            <w:tcW w:w="1985" w:type="dxa"/>
            <w:vMerge/>
            <w:tcBorders>
              <w:top w:val="nil"/>
              <w:left w:val="single" w:sz="4" w:space="0" w:color="auto"/>
              <w:bottom w:val="single" w:sz="4" w:space="0" w:color="auto"/>
            </w:tcBorders>
            <w:vAlign w:val="center"/>
            <w:hideMark/>
          </w:tcPr>
          <w:p w14:paraId="3C5968A4" w14:textId="77777777" w:rsidR="000E15B7" w:rsidRPr="00EC5748" w:rsidRDefault="000E15B7" w:rsidP="00EC5748">
            <w:pPr>
              <w:rPr>
                <w:rFonts w:eastAsia="Times New Roman"/>
                <w:i/>
                <w:iCs/>
                <w:color w:val="000000"/>
                <w:lang w:eastAsia="fr-CA"/>
              </w:rPr>
            </w:pPr>
          </w:p>
        </w:tc>
        <w:tc>
          <w:tcPr>
            <w:tcW w:w="1632" w:type="dxa"/>
            <w:vMerge/>
            <w:tcBorders>
              <w:top w:val="nil"/>
              <w:bottom w:val="single" w:sz="4" w:space="0" w:color="auto"/>
            </w:tcBorders>
            <w:vAlign w:val="center"/>
            <w:hideMark/>
          </w:tcPr>
          <w:p w14:paraId="4D103797"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023177C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387" w:type="dxa"/>
            <w:tcBorders>
              <w:top w:val="single" w:sz="4" w:space="0" w:color="auto"/>
              <w:bottom w:val="single" w:sz="4" w:space="0" w:color="auto"/>
            </w:tcBorders>
            <w:vAlign w:val="center"/>
            <w:hideMark/>
          </w:tcPr>
          <w:p w14:paraId="3ECD7BB7"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0</w:t>
            </w:r>
          </w:p>
        </w:tc>
        <w:tc>
          <w:tcPr>
            <w:tcW w:w="1302" w:type="dxa"/>
            <w:tcBorders>
              <w:top w:val="single" w:sz="4" w:space="0" w:color="auto"/>
              <w:bottom w:val="single" w:sz="4" w:space="0" w:color="auto"/>
            </w:tcBorders>
            <w:vAlign w:val="center"/>
            <w:hideMark/>
          </w:tcPr>
          <w:p w14:paraId="6C0FF49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3B2674C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tcBorders>
              <w:top w:val="single" w:sz="4" w:space="0" w:color="auto"/>
              <w:bottom w:val="single" w:sz="4" w:space="0" w:color="auto"/>
              <w:right w:val="single" w:sz="4" w:space="0" w:color="auto"/>
            </w:tcBorders>
            <w:vAlign w:val="center"/>
            <w:hideMark/>
          </w:tcPr>
          <w:p w14:paraId="4D5A09B9" w14:textId="0601BF51" w:rsidR="000E15B7" w:rsidRPr="00EC5748" w:rsidRDefault="000E15B7" w:rsidP="00EC5748">
            <w:pPr>
              <w:jc w:val="center"/>
              <w:rPr>
                <w:rFonts w:eastAsia="Times New Roman"/>
                <w:color w:val="000000"/>
                <w:lang w:eastAsia="fr-CA"/>
              </w:rPr>
            </w:pPr>
            <w:r w:rsidRPr="00EC5748">
              <w:rPr>
                <w:rFonts w:eastAsia="Times New Roman"/>
                <w:color w:val="000000"/>
                <w:lang w:eastAsia="fr-CA"/>
              </w:rPr>
              <w:t> </w:t>
            </w:r>
            <w:proofErr w:type="gramStart"/>
            <w:r w:rsidR="00862C22">
              <w:rPr>
                <w:rFonts w:eastAsia="Times New Roman"/>
                <w:color w:val="000000"/>
                <w:lang w:eastAsia="fr-CA"/>
              </w:rPr>
              <w:t>s</w:t>
            </w:r>
            <w:proofErr w:type="gramEnd"/>
            <w:r w:rsidR="00862C22">
              <w:rPr>
                <w:rFonts w:eastAsia="Times New Roman"/>
                <w:color w:val="000000"/>
                <w:lang w:eastAsia="fr-CA"/>
              </w:rPr>
              <w:t>/o</w:t>
            </w:r>
          </w:p>
        </w:tc>
      </w:tr>
      <w:tr w:rsidR="000E15B7" w:rsidRPr="00EC5748" w14:paraId="12751A65" w14:textId="77777777" w:rsidTr="004E323E">
        <w:trPr>
          <w:trHeight w:val="288"/>
        </w:trPr>
        <w:tc>
          <w:tcPr>
            <w:tcW w:w="1985" w:type="dxa"/>
            <w:vMerge w:val="restart"/>
            <w:tcBorders>
              <w:top w:val="single" w:sz="4" w:space="0" w:color="auto"/>
              <w:left w:val="single" w:sz="4" w:space="0" w:color="auto"/>
              <w:bottom w:val="single" w:sz="4" w:space="0" w:color="auto"/>
            </w:tcBorders>
            <w:vAlign w:val="center"/>
            <w:hideMark/>
          </w:tcPr>
          <w:p w14:paraId="68D1C317" w14:textId="77777777" w:rsidR="000E15B7" w:rsidRPr="00EC5748" w:rsidRDefault="000E15B7" w:rsidP="00EC5748">
            <w:pPr>
              <w:jc w:val="center"/>
              <w:rPr>
                <w:rFonts w:eastAsia="Times New Roman"/>
                <w:color w:val="000000"/>
                <w:lang w:eastAsia="fr-CA"/>
              </w:rPr>
            </w:pPr>
            <w:proofErr w:type="spellStart"/>
            <w:r w:rsidRPr="00EC5748">
              <w:rPr>
                <w:rFonts w:eastAsia="Times New Roman"/>
                <w:i/>
                <w:iCs/>
                <w:color w:val="000000"/>
                <w:lang w:eastAsia="fr-CA"/>
              </w:rPr>
              <w:t>Colletotrichum</w:t>
            </w:r>
            <w:proofErr w:type="spellEnd"/>
            <w:r w:rsidRPr="00EC5748">
              <w:rPr>
                <w:rFonts w:eastAsia="Times New Roman"/>
                <w:i/>
                <w:iCs/>
                <w:color w:val="000000"/>
                <w:lang w:eastAsia="fr-CA"/>
              </w:rPr>
              <w:t xml:space="preserve"> </w:t>
            </w:r>
            <w:proofErr w:type="spellStart"/>
            <w:r w:rsidRPr="00EC5748">
              <w:rPr>
                <w:rFonts w:eastAsia="Times New Roman"/>
                <w:color w:val="000000"/>
                <w:lang w:eastAsia="fr-CA"/>
              </w:rPr>
              <w:t>spp</w:t>
            </w:r>
            <w:proofErr w:type="spellEnd"/>
            <w:r w:rsidRPr="00EC5748">
              <w:rPr>
                <w:rFonts w:eastAsia="Times New Roman"/>
                <w:color w:val="000000"/>
                <w:lang w:eastAsia="fr-CA"/>
              </w:rPr>
              <w:t>.</w:t>
            </w:r>
          </w:p>
        </w:tc>
        <w:tc>
          <w:tcPr>
            <w:tcW w:w="1632" w:type="dxa"/>
            <w:vMerge w:val="restart"/>
            <w:tcBorders>
              <w:top w:val="single" w:sz="4" w:space="0" w:color="auto"/>
              <w:bottom w:val="single" w:sz="4" w:space="0" w:color="auto"/>
            </w:tcBorders>
            <w:vAlign w:val="center"/>
            <w:hideMark/>
          </w:tcPr>
          <w:p w14:paraId="5236435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Chaudière-Appalaches</w:t>
            </w:r>
          </w:p>
        </w:tc>
        <w:tc>
          <w:tcPr>
            <w:tcW w:w="1376" w:type="dxa"/>
            <w:tcBorders>
              <w:top w:val="single" w:sz="4" w:space="0" w:color="auto"/>
              <w:bottom w:val="single" w:sz="4" w:space="0" w:color="auto"/>
            </w:tcBorders>
            <w:vAlign w:val="center"/>
            <w:hideMark/>
          </w:tcPr>
          <w:p w14:paraId="06C22F5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387" w:type="dxa"/>
            <w:tcBorders>
              <w:top w:val="single" w:sz="4" w:space="0" w:color="auto"/>
              <w:bottom w:val="single" w:sz="4" w:space="0" w:color="auto"/>
            </w:tcBorders>
            <w:vAlign w:val="center"/>
            <w:hideMark/>
          </w:tcPr>
          <w:p w14:paraId="629F8C39"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45</w:t>
            </w:r>
          </w:p>
        </w:tc>
        <w:tc>
          <w:tcPr>
            <w:tcW w:w="1302" w:type="dxa"/>
            <w:tcBorders>
              <w:top w:val="single" w:sz="4" w:space="0" w:color="auto"/>
              <w:bottom w:val="single" w:sz="4" w:space="0" w:color="auto"/>
            </w:tcBorders>
            <w:vAlign w:val="center"/>
            <w:hideMark/>
          </w:tcPr>
          <w:p w14:paraId="1DD3629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45</w:t>
            </w:r>
          </w:p>
        </w:tc>
        <w:tc>
          <w:tcPr>
            <w:tcW w:w="1753" w:type="dxa"/>
            <w:tcBorders>
              <w:top w:val="single" w:sz="4" w:space="0" w:color="auto"/>
              <w:bottom w:val="single" w:sz="4" w:space="0" w:color="auto"/>
            </w:tcBorders>
            <w:vAlign w:val="center"/>
            <w:hideMark/>
          </w:tcPr>
          <w:p w14:paraId="517911D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622" w:type="dxa"/>
            <w:vMerge w:val="restart"/>
            <w:tcBorders>
              <w:top w:val="single" w:sz="4" w:space="0" w:color="auto"/>
              <w:right w:val="single" w:sz="4" w:space="0" w:color="auto"/>
            </w:tcBorders>
            <w:vAlign w:val="center"/>
            <w:hideMark/>
          </w:tcPr>
          <w:p w14:paraId="2CAD612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26.7</w:t>
            </w:r>
          </w:p>
        </w:tc>
      </w:tr>
      <w:tr w:rsidR="000E15B7" w:rsidRPr="00EC5748" w14:paraId="29AD58FF" w14:textId="77777777" w:rsidTr="004E323E">
        <w:trPr>
          <w:trHeight w:val="288"/>
        </w:trPr>
        <w:tc>
          <w:tcPr>
            <w:tcW w:w="1985" w:type="dxa"/>
            <w:vMerge/>
            <w:tcBorders>
              <w:top w:val="single" w:sz="4" w:space="0" w:color="000000"/>
              <w:left w:val="single" w:sz="4" w:space="0" w:color="auto"/>
              <w:bottom w:val="single" w:sz="4" w:space="0" w:color="auto"/>
            </w:tcBorders>
            <w:vAlign w:val="center"/>
            <w:hideMark/>
          </w:tcPr>
          <w:p w14:paraId="31824685" w14:textId="77777777" w:rsidR="000E15B7" w:rsidRPr="00EC5748" w:rsidRDefault="000E15B7" w:rsidP="00EC5748">
            <w:pPr>
              <w:rPr>
                <w:rFonts w:eastAsia="Times New Roman"/>
                <w:color w:val="000000"/>
                <w:lang w:eastAsia="fr-CA"/>
              </w:rPr>
            </w:pPr>
          </w:p>
        </w:tc>
        <w:tc>
          <w:tcPr>
            <w:tcW w:w="1632" w:type="dxa"/>
            <w:vMerge/>
            <w:tcBorders>
              <w:top w:val="nil"/>
              <w:bottom w:val="single" w:sz="4" w:space="0" w:color="auto"/>
            </w:tcBorders>
            <w:vAlign w:val="center"/>
            <w:hideMark/>
          </w:tcPr>
          <w:p w14:paraId="6DD82E23"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196EDC0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387" w:type="dxa"/>
            <w:tcBorders>
              <w:top w:val="single" w:sz="4" w:space="0" w:color="auto"/>
              <w:bottom w:val="single" w:sz="4" w:space="0" w:color="auto"/>
            </w:tcBorders>
            <w:vAlign w:val="center"/>
            <w:hideMark/>
          </w:tcPr>
          <w:p w14:paraId="4CFC580E"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45</w:t>
            </w:r>
          </w:p>
        </w:tc>
        <w:tc>
          <w:tcPr>
            <w:tcW w:w="1302" w:type="dxa"/>
            <w:tcBorders>
              <w:top w:val="single" w:sz="4" w:space="0" w:color="auto"/>
              <w:bottom w:val="single" w:sz="4" w:space="0" w:color="auto"/>
            </w:tcBorders>
            <w:vAlign w:val="center"/>
            <w:hideMark/>
          </w:tcPr>
          <w:p w14:paraId="07CAE48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12</w:t>
            </w:r>
          </w:p>
        </w:tc>
        <w:tc>
          <w:tcPr>
            <w:tcW w:w="1753" w:type="dxa"/>
            <w:tcBorders>
              <w:top w:val="single" w:sz="4" w:space="0" w:color="auto"/>
              <w:bottom w:val="single" w:sz="4" w:space="0" w:color="auto"/>
            </w:tcBorders>
            <w:vAlign w:val="center"/>
            <w:hideMark/>
          </w:tcPr>
          <w:p w14:paraId="0DAF02C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26,7</w:t>
            </w:r>
          </w:p>
        </w:tc>
        <w:tc>
          <w:tcPr>
            <w:tcW w:w="1622" w:type="dxa"/>
            <w:vMerge/>
            <w:tcBorders>
              <w:top w:val="nil"/>
              <w:bottom w:val="single" w:sz="4" w:space="0" w:color="auto"/>
              <w:right w:val="single" w:sz="4" w:space="0" w:color="auto"/>
            </w:tcBorders>
            <w:vAlign w:val="center"/>
            <w:hideMark/>
          </w:tcPr>
          <w:p w14:paraId="0E09D141" w14:textId="77777777" w:rsidR="000E15B7" w:rsidRPr="00EC5748" w:rsidRDefault="000E15B7" w:rsidP="00EC5748">
            <w:pPr>
              <w:rPr>
                <w:rFonts w:eastAsia="Times New Roman"/>
                <w:color w:val="000000"/>
                <w:lang w:eastAsia="fr-CA"/>
              </w:rPr>
            </w:pPr>
          </w:p>
        </w:tc>
      </w:tr>
      <w:tr w:rsidR="000E15B7" w:rsidRPr="00EC5748" w14:paraId="3A2E918B" w14:textId="77777777" w:rsidTr="004E323E">
        <w:trPr>
          <w:trHeight w:val="288"/>
        </w:trPr>
        <w:tc>
          <w:tcPr>
            <w:tcW w:w="1985" w:type="dxa"/>
            <w:vMerge/>
            <w:tcBorders>
              <w:top w:val="single" w:sz="4" w:space="0" w:color="000000"/>
              <w:left w:val="single" w:sz="4" w:space="0" w:color="auto"/>
              <w:bottom w:val="single" w:sz="4" w:space="0" w:color="auto"/>
            </w:tcBorders>
            <w:vAlign w:val="center"/>
            <w:hideMark/>
          </w:tcPr>
          <w:p w14:paraId="7A3BF2D1" w14:textId="77777777" w:rsidR="000E15B7" w:rsidRPr="00EC5748" w:rsidRDefault="000E15B7" w:rsidP="00EC5748">
            <w:pPr>
              <w:rPr>
                <w:rFonts w:eastAsia="Times New Roman"/>
                <w:color w:val="000000"/>
                <w:lang w:eastAsia="fr-CA"/>
              </w:rPr>
            </w:pPr>
          </w:p>
        </w:tc>
        <w:tc>
          <w:tcPr>
            <w:tcW w:w="1632" w:type="dxa"/>
            <w:vMerge/>
            <w:tcBorders>
              <w:top w:val="nil"/>
              <w:bottom w:val="single" w:sz="4" w:space="0" w:color="auto"/>
            </w:tcBorders>
            <w:vAlign w:val="center"/>
            <w:hideMark/>
          </w:tcPr>
          <w:p w14:paraId="68DF475D"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58C1BC5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387" w:type="dxa"/>
            <w:tcBorders>
              <w:top w:val="single" w:sz="4" w:space="0" w:color="auto"/>
              <w:bottom w:val="single" w:sz="4" w:space="0" w:color="auto"/>
            </w:tcBorders>
            <w:vAlign w:val="center"/>
            <w:hideMark/>
          </w:tcPr>
          <w:p w14:paraId="1B630B42"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45</w:t>
            </w:r>
          </w:p>
        </w:tc>
        <w:tc>
          <w:tcPr>
            <w:tcW w:w="1302" w:type="dxa"/>
            <w:tcBorders>
              <w:top w:val="single" w:sz="4" w:space="0" w:color="auto"/>
              <w:bottom w:val="single" w:sz="4" w:space="0" w:color="auto"/>
            </w:tcBorders>
            <w:vAlign w:val="center"/>
            <w:hideMark/>
          </w:tcPr>
          <w:p w14:paraId="41B3988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12</w:t>
            </w:r>
          </w:p>
        </w:tc>
        <w:tc>
          <w:tcPr>
            <w:tcW w:w="1753" w:type="dxa"/>
            <w:tcBorders>
              <w:top w:val="single" w:sz="4" w:space="0" w:color="auto"/>
              <w:bottom w:val="single" w:sz="4" w:space="0" w:color="auto"/>
            </w:tcBorders>
            <w:vAlign w:val="center"/>
            <w:hideMark/>
          </w:tcPr>
          <w:p w14:paraId="21F02E3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26,7</w:t>
            </w:r>
          </w:p>
        </w:tc>
        <w:tc>
          <w:tcPr>
            <w:tcW w:w="1622" w:type="dxa"/>
            <w:tcBorders>
              <w:top w:val="single" w:sz="4" w:space="0" w:color="auto"/>
              <w:bottom w:val="single" w:sz="4" w:space="0" w:color="auto"/>
              <w:right w:val="single" w:sz="4" w:space="0" w:color="auto"/>
            </w:tcBorders>
            <w:vAlign w:val="center"/>
            <w:hideMark/>
          </w:tcPr>
          <w:p w14:paraId="1628E6E5" w14:textId="3C7EF829" w:rsidR="000E15B7" w:rsidRPr="00EC5748" w:rsidRDefault="000E15B7" w:rsidP="00EC5748">
            <w:pPr>
              <w:jc w:val="center"/>
              <w:rPr>
                <w:rFonts w:eastAsia="Times New Roman"/>
                <w:color w:val="000000"/>
                <w:lang w:eastAsia="fr-CA"/>
              </w:rPr>
            </w:pPr>
            <w:r w:rsidRPr="00EC5748">
              <w:rPr>
                <w:rFonts w:eastAsia="Times New Roman"/>
                <w:color w:val="000000"/>
                <w:lang w:eastAsia="fr-CA"/>
              </w:rPr>
              <w:t> </w:t>
            </w:r>
            <w:proofErr w:type="gramStart"/>
            <w:r w:rsidR="00862C22">
              <w:rPr>
                <w:rFonts w:eastAsia="Times New Roman"/>
                <w:color w:val="000000"/>
                <w:lang w:eastAsia="fr-CA"/>
              </w:rPr>
              <w:t>s</w:t>
            </w:r>
            <w:proofErr w:type="gramEnd"/>
            <w:r w:rsidR="00862C22">
              <w:rPr>
                <w:rFonts w:eastAsia="Times New Roman"/>
                <w:color w:val="000000"/>
                <w:lang w:eastAsia="fr-CA"/>
              </w:rPr>
              <w:t>/o</w:t>
            </w:r>
          </w:p>
        </w:tc>
      </w:tr>
      <w:tr w:rsidR="000E15B7" w:rsidRPr="00EC5748" w14:paraId="1616D314" w14:textId="77777777" w:rsidTr="004E323E">
        <w:trPr>
          <w:trHeight w:val="288"/>
        </w:trPr>
        <w:tc>
          <w:tcPr>
            <w:tcW w:w="1985" w:type="dxa"/>
            <w:vMerge/>
            <w:tcBorders>
              <w:top w:val="single" w:sz="4" w:space="0" w:color="000000"/>
              <w:left w:val="single" w:sz="4" w:space="0" w:color="auto"/>
              <w:bottom w:val="single" w:sz="4" w:space="0" w:color="auto"/>
            </w:tcBorders>
            <w:vAlign w:val="center"/>
            <w:hideMark/>
          </w:tcPr>
          <w:p w14:paraId="27925DBC" w14:textId="77777777" w:rsidR="000E15B7" w:rsidRPr="00EC5748" w:rsidRDefault="000E15B7" w:rsidP="00EC5748">
            <w:pPr>
              <w:rPr>
                <w:rFonts w:eastAsia="Times New Roman"/>
                <w:color w:val="000000"/>
                <w:lang w:eastAsia="fr-CA"/>
              </w:rPr>
            </w:pPr>
          </w:p>
        </w:tc>
        <w:tc>
          <w:tcPr>
            <w:tcW w:w="1632" w:type="dxa"/>
            <w:vMerge w:val="restart"/>
            <w:tcBorders>
              <w:top w:val="single" w:sz="4" w:space="0" w:color="auto"/>
              <w:bottom w:val="single" w:sz="4" w:space="0" w:color="auto"/>
            </w:tcBorders>
            <w:vAlign w:val="center"/>
            <w:hideMark/>
          </w:tcPr>
          <w:p w14:paraId="3522BFC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Mauricie</w:t>
            </w:r>
          </w:p>
        </w:tc>
        <w:tc>
          <w:tcPr>
            <w:tcW w:w="1376" w:type="dxa"/>
            <w:tcBorders>
              <w:top w:val="single" w:sz="4" w:space="0" w:color="auto"/>
              <w:bottom w:val="single" w:sz="4" w:space="0" w:color="auto"/>
            </w:tcBorders>
            <w:vAlign w:val="center"/>
            <w:hideMark/>
          </w:tcPr>
          <w:p w14:paraId="1123FDE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387" w:type="dxa"/>
            <w:tcBorders>
              <w:top w:val="single" w:sz="4" w:space="0" w:color="auto"/>
              <w:bottom w:val="single" w:sz="4" w:space="0" w:color="auto"/>
            </w:tcBorders>
            <w:vAlign w:val="center"/>
            <w:hideMark/>
          </w:tcPr>
          <w:p w14:paraId="2CD03AC5"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19</w:t>
            </w:r>
          </w:p>
        </w:tc>
        <w:tc>
          <w:tcPr>
            <w:tcW w:w="1302" w:type="dxa"/>
            <w:tcBorders>
              <w:top w:val="single" w:sz="4" w:space="0" w:color="auto"/>
              <w:bottom w:val="single" w:sz="4" w:space="0" w:color="auto"/>
            </w:tcBorders>
            <w:vAlign w:val="center"/>
            <w:hideMark/>
          </w:tcPr>
          <w:p w14:paraId="4B6B65B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19</w:t>
            </w:r>
          </w:p>
        </w:tc>
        <w:tc>
          <w:tcPr>
            <w:tcW w:w="1753" w:type="dxa"/>
            <w:tcBorders>
              <w:top w:val="single" w:sz="4" w:space="0" w:color="auto"/>
              <w:bottom w:val="single" w:sz="4" w:space="0" w:color="auto"/>
            </w:tcBorders>
            <w:vAlign w:val="center"/>
            <w:hideMark/>
          </w:tcPr>
          <w:p w14:paraId="722A08A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622" w:type="dxa"/>
            <w:vMerge w:val="restart"/>
            <w:tcBorders>
              <w:top w:val="single" w:sz="4" w:space="0" w:color="auto"/>
              <w:right w:val="single" w:sz="4" w:space="0" w:color="auto"/>
            </w:tcBorders>
            <w:vAlign w:val="center"/>
            <w:hideMark/>
          </w:tcPr>
          <w:p w14:paraId="5199D89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21.1</w:t>
            </w:r>
          </w:p>
        </w:tc>
      </w:tr>
      <w:tr w:rsidR="000E15B7" w:rsidRPr="00EC5748" w14:paraId="7401A78E" w14:textId="77777777" w:rsidTr="004E323E">
        <w:trPr>
          <w:trHeight w:val="288"/>
        </w:trPr>
        <w:tc>
          <w:tcPr>
            <w:tcW w:w="1985" w:type="dxa"/>
            <w:vMerge/>
            <w:tcBorders>
              <w:top w:val="single" w:sz="4" w:space="0" w:color="000000"/>
              <w:left w:val="single" w:sz="4" w:space="0" w:color="auto"/>
              <w:bottom w:val="single" w:sz="4" w:space="0" w:color="auto"/>
            </w:tcBorders>
            <w:vAlign w:val="center"/>
            <w:hideMark/>
          </w:tcPr>
          <w:p w14:paraId="04AC5EEA" w14:textId="77777777" w:rsidR="000E15B7" w:rsidRPr="00EC5748" w:rsidRDefault="000E15B7" w:rsidP="00EC5748">
            <w:pPr>
              <w:rPr>
                <w:rFonts w:eastAsia="Times New Roman"/>
                <w:color w:val="000000"/>
                <w:lang w:eastAsia="fr-CA"/>
              </w:rPr>
            </w:pPr>
          </w:p>
        </w:tc>
        <w:tc>
          <w:tcPr>
            <w:tcW w:w="1632" w:type="dxa"/>
            <w:vMerge/>
            <w:tcBorders>
              <w:top w:val="nil"/>
              <w:bottom w:val="single" w:sz="4" w:space="0" w:color="auto"/>
            </w:tcBorders>
            <w:vAlign w:val="center"/>
            <w:hideMark/>
          </w:tcPr>
          <w:p w14:paraId="63C1F6C5"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2324D38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387" w:type="dxa"/>
            <w:tcBorders>
              <w:top w:val="single" w:sz="4" w:space="0" w:color="auto"/>
              <w:bottom w:val="single" w:sz="4" w:space="0" w:color="auto"/>
            </w:tcBorders>
            <w:vAlign w:val="center"/>
            <w:hideMark/>
          </w:tcPr>
          <w:p w14:paraId="56D30A4D"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19</w:t>
            </w:r>
          </w:p>
        </w:tc>
        <w:tc>
          <w:tcPr>
            <w:tcW w:w="1302" w:type="dxa"/>
            <w:tcBorders>
              <w:top w:val="single" w:sz="4" w:space="0" w:color="auto"/>
              <w:bottom w:val="single" w:sz="4" w:space="0" w:color="auto"/>
            </w:tcBorders>
            <w:vAlign w:val="center"/>
            <w:hideMark/>
          </w:tcPr>
          <w:p w14:paraId="793F114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w:t>
            </w:r>
          </w:p>
        </w:tc>
        <w:tc>
          <w:tcPr>
            <w:tcW w:w="1753" w:type="dxa"/>
            <w:tcBorders>
              <w:top w:val="single" w:sz="4" w:space="0" w:color="auto"/>
              <w:bottom w:val="single" w:sz="4" w:space="0" w:color="auto"/>
            </w:tcBorders>
            <w:vAlign w:val="center"/>
            <w:hideMark/>
          </w:tcPr>
          <w:p w14:paraId="03869A7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21,1</w:t>
            </w:r>
          </w:p>
        </w:tc>
        <w:tc>
          <w:tcPr>
            <w:tcW w:w="1622" w:type="dxa"/>
            <w:vMerge/>
            <w:tcBorders>
              <w:top w:val="nil"/>
              <w:bottom w:val="single" w:sz="4" w:space="0" w:color="auto"/>
              <w:right w:val="single" w:sz="4" w:space="0" w:color="auto"/>
            </w:tcBorders>
            <w:vAlign w:val="center"/>
            <w:hideMark/>
          </w:tcPr>
          <w:p w14:paraId="5DDFF688" w14:textId="77777777" w:rsidR="000E15B7" w:rsidRPr="00EC5748" w:rsidRDefault="000E15B7" w:rsidP="00EC5748">
            <w:pPr>
              <w:rPr>
                <w:rFonts w:eastAsia="Times New Roman"/>
                <w:color w:val="000000"/>
                <w:lang w:eastAsia="fr-CA"/>
              </w:rPr>
            </w:pPr>
          </w:p>
        </w:tc>
      </w:tr>
      <w:tr w:rsidR="000E15B7" w:rsidRPr="00EC5748" w14:paraId="1BAB9B03" w14:textId="77777777" w:rsidTr="004E323E">
        <w:trPr>
          <w:trHeight w:val="288"/>
        </w:trPr>
        <w:tc>
          <w:tcPr>
            <w:tcW w:w="1985" w:type="dxa"/>
            <w:vMerge/>
            <w:tcBorders>
              <w:top w:val="single" w:sz="4" w:space="0" w:color="000000"/>
              <w:left w:val="single" w:sz="4" w:space="0" w:color="auto"/>
              <w:bottom w:val="single" w:sz="4" w:space="0" w:color="auto"/>
            </w:tcBorders>
            <w:vAlign w:val="center"/>
            <w:hideMark/>
          </w:tcPr>
          <w:p w14:paraId="7E85DEDB" w14:textId="77777777" w:rsidR="000E15B7" w:rsidRPr="00EC5748" w:rsidRDefault="000E15B7" w:rsidP="00EC5748">
            <w:pPr>
              <w:rPr>
                <w:rFonts w:eastAsia="Times New Roman"/>
                <w:color w:val="000000"/>
                <w:lang w:eastAsia="fr-CA"/>
              </w:rPr>
            </w:pPr>
          </w:p>
        </w:tc>
        <w:tc>
          <w:tcPr>
            <w:tcW w:w="1632" w:type="dxa"/>
            <w:vMerge/>
            <w:tcBorders>
              <w:top w:val="single" w:sz="4" w:space="0" w:color="auto"/>
              <w:bottom w:val="single" w:sz="4" w:space="0" w:color="auto"/>
            </w:tcBorders>
            <w:vAlign w:val="center"/>
            <w:hideMark/>
          </w:tcPr>
          <w:p w14:paraId="70C36387"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12CE288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387" w:type="dxa"/>
            <w:tcBorders>
              <w:top w:val="single" w:sz="4" w:space="0" w:color="auto"/>
              <w:bottom w:val="single" w:sz="4" w:space="0" w:color="auto"/>
            </w:tcBorders>
            <w:vAlign w:val="center"/>
            <w:hideMark/>
          </w:tcPr>
          <w:p w14:paraId="09F4BD73"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19</w:t>
            </w:r>
          </w:p>
        </w:tc>
        <w:tc>
          <w:tcPr>
            <w:tcW w:w="1302" w:type="dxa"/>
            <w:tcBorders>
              <w:top w:val="single" w:sz="4" w:space="0" w:color="auto"/>
              <w:bottom w:val="single" w:sz="4" w:space="0" w:color="auto"/>
            </w:tcBorders>
            <w:vAlign w:val="center"/>
            <w:hideMark/>
          </w:tcPr>
          <w:p w14:paraId="0D149D6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w:t>
            </w:r>
          </w:p>
        </w:tc>
        <w:tc>
          <w:tcPr>
            <w:tcW w:w="1753" w:type="dxa"/>
            <w:tcBorders>
              <w:top w:val="single" w:sz="4" w:space="0" w:color="auto"/>
              <w:bottom w:val="single" w:sz="4" w:space="0" w:color="auto"/>
            </w:tcBorders>
            <w:vAlign w:val="center"/>
            <w:hideMark/>
          </w:tcPr>
          <w:p w14:paraId="6AE81E5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21,1</w:t>
            </w:r>
          </w:p>
        </w:tc>
        <w:tc>
          <w:tcPr>
            <w:tcW w:w="1622" w:type="dxa"/>
            <w:tcBorders>
              <w:top w:val="single" w:sz="4" w:space="0" w:color="auto"/>
              <w:bottom w:val="single" w:sz="4" w:space="0" w:color="auto"/>
              <w:right w:val="single" w:sz="4" w:space="0" w:color="auto"/>
            </w:tcBorders>
            <w:vAlign w:val="center"/>
            <w:hideMark/>
          </w:tcPr>
          <w:p w14:paraId="65E19F5D" w14:textId="52211DE5" w:rsidR="000E15B7" w:rsidRPr="00EC5748" w:rsidRDefault="000E15B7" w:rsidP="00EC5748">
            <w:pPr>
              <w:jc w:val="center"/>
              <w:rPr>
                <w:rFonts w:eastAsia="Times New Roman"/>
                <w:color w:val="000000"/>
                <w:lang w:eastAsia="fr-CA"/>
              </w:rPr>
            </w:pPr>
            <w:r w:rsidRPr="00EC5748">
              <w:rPr>
                <w:rFonts w:eastAsia="Times New Roman"/>
                <w:color w:val="000000"/>
                <w:lang w:eastAsia="fr-CA"/>
              </w:rPr>
              <w:t> </w:t>
            </w:r>
            <w:proofErr w:type="gramStart"/>
            <w:r w:rsidR="00862C22">
              <w:rPr>
                <w:rFonts w:eastAsia="Times New Roman"/>
                <w:color w:val="000000"/>
                <w:lang w:eastAsia="fr-CA"/>
              </w:rPr>
              <w:t>s</w:t>
            </w:r>
            <w:proofErr w:type="gramEnd"/>
            <w:r w:rsidR="00862C22">
              <w:rPr>
                <w:rFonts w:eastAsia="Times New Roman"/>
                <w:color w:val="000000"/>
                <w:lang w:eastAsia="fr-CA"/>
              </w:rPr>
              <w:t>/o</w:t>
            </w:r>
          </w:p>
        </w:tc>
      </w:tr>
      <w:tr w:rsidR="000E15B7" w:rsidRPr="00EC5748" w14:paraId="1CE46E1B" w14:textId="77777777" w:rsidTr="004E323E">
        <w:trPr>
          <w:trHeight w:val="288"/>
        </w:trPr>
        <w:tc>
          <w:tcPr>
            <w:tcW w:w="1985" w:type="dxa"/>
            <w:vMerge/>
            <w:tcBorders>
              <w:top w:val="single" w:sz="4" w:space="0" w:color="000000"/>
              <w:left w:val="single" w:sz="4" w:space="0" w:color="auto"/>
              <w:bottom w:val="single" w:sz="4" w:space="0" w:color="auto"/>
            </w:tcBorders>
            <w:vAlign w:val="center"/>
            <w:hideMark/>
          </w:tcPr>
          <w:p w14:paraId="21668EF8" w14:textId="77777777" w:rsidR="000E15B7" w:rsidRPr="00EC5748" w:rsidRDefault="000E15B7" w:rsidP="00EC5748">
            <w:pPr>
              <w:rPr>
                <w:rFonts w:eastAsia="Times New Roman"/>
                <w:color w:val="000000"/>
                <w:lang w:eastAsia="fr-CA"/>
              </w:rPr>
            </w:pPr>
          </w:p>
        </w:tc>
        <w:tc>
          <w:tcPr>
            <w:tcW w:w="1632" w:type="dxa"/>
            <w:vMerge w:val="restart"/>
            <w:tcBorders>
              <w:top w:val="single" w:sz="4" w:space="0" w:color="auto"/>
              <w:bottom w:val="single" w:sz="4" w:space="0" w:color="auto"/>
            </w:tcBorders>
            <w:vAlign w:val="center"/>
            <w:hideMark/>
          </w:tcPr>
          <w:p w14:paraId="7687818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Montérégie</w:t>
            </w:r>
          </w:p>
        </w:tc>
        <w:tc>
          <w:tcPr>
            <w:tcW w:w="1376" w:type="dxa"/>
            <w:tcBorders>
              <w:top w:val="single" w:sz="4" w:space="0" w:color="auto"/>
              <w:bottom w:val="single" w:sz="4" w:space="0" w:color="auto"/>
            </w:tcBorders>
            <w:vAlign w:val="center"/>
            <w:hideMark/>
          </w:tcPr>
          <w:p w14:paraId="478021A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387" w:type="dxa"/>
            <w:tcBorders>
              <w:top w:val="single" w:sz="4" w:space="0" w:color="auto"/>
              <w:bottom w:val="single" w:sz="4" w:space="0" w:color="auto"/>
            </w:tcBorders>
            <w:vAlign w:val="center"/>
            <w:hideMark/>
          </w:tcPr>
          <w:p w14:paraId="1998042C"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10</w:t>
            </w:r>
          </w:p>
        </w:tc>
        <w:tc>
          <w:tcPr>
            <w:tcW w:w="1302" w:type="dxa"/>
            <w:tcBorders>
              <w:top w:val="single" w:sz="4" w:space="0" w:color="auto"/>
              <w:bottom w:val="single" w:sz="4" w:space="0" w:color="auto"/>
            </w:tcBorders>
            <w:vAlign w:val="center"/>
            <w:hideMark/>
          </w:tcPr>
          <w:p w14:paraId="77E4D32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w:t>
            </w:r>
          </w:p>
        </w:tc>
        <w:tc>
          <w:tcPr>
            <w:tcW w:w="1753" w:type="dxa"/>
            <w:tcBorders>
              <w:top w:val="single" w:sz="4" w:space="0" w:color="auto"/>
              <w:bottom w:val="single" w:sz="4" w:space="0" w:color="auto"/>
            </w:tcBorders>
            <w:vAlign w:val="center"/>
            <w:hideMark/>
          </w:tcPr>
          <w:p w14:paraId="2085E18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622" w:type="dxa"/>
            <w:vMerge w:val="restart"/>
            <w:tcBorders>
              <w:top w:val="single" w:sz="4" w:space="0" w:color="auto"/>
              <w:right w:val="single" w:sz="4" w:space="0" w:color="auto"/>
            </w:tcBorders>
            <w:vAlign w:val="center"/>
            <w:hideMark/>
          </w:tcPr>
          <w:p w14:paraId="4B29C7D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20</w:t>
            </w:r>
          </w:p>
        </w:tc>
      </w:tr>
      <w:tr w:rsidR="000E15B7" w:rsidRPr="00EC5748" w14:paraId="24333E9B" w14:textId="77777777" w:rsidTr="004E323E">
        <w:trPr>
          <w:trHeight w:val="288"/>
        </w:trPr>
        <w:tc>
          <w:tcPr>
            <w:tcW w:w="1985" w:type="dxa"/>
            <w:vMerge/>
            <w:tcBorders>
              <w:top w:val="single" w:sz="4" w:space="0" w:color="000000"/>
              <w:left w:val="single" w:sz="4" w:space="0" w:color="auto"/>
              <w:bottom w:val="single" w:sz="4" w:space="0" w:color="auto"/>
            </w:tcBorders>
            <w:vAlign w:val="center"/>
            <w:hideMark/>
          </w:tcPr>
          <w:p w14:paraId="0260C3F9" w14:textId="77777777" w:rsidR="000E15B7" w:rsidRPr="00EC5748" w:rsidRDefault="000E15B7" w:rsidP="00EC5748">
            <w:pPr>
              <w:rPr>
                <w:rFonts w:eastAsia="Times New Roman"/>
                <w:color w:val="000000"/>
                <w:lang w:eastAsia="fr-CA"/>
              </w:rPr>
            </w:pPr>
          </w:p>
        </w:tc>
        <w:tc>
          <w:tcPr>
            <w:tcW w:w="1632" w:type="dxa"/>
            <w:vMerge/>
            <w:tcBorders>
              <w:top w:val="nil"/>
              <w:bottom w:val="single" w:sz="4" w:space="0" w:color="auto"/>
            </w:tcBorders>
            <w:vAlign w:val="center"/>
            <w:hideMark/>
          </w:tcPr>
          <w:p w14:paraId="554AE9D8"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35F9DAC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387" w:type="dxa"/>
            <w:tcBorders>
              <w:top w:val="single" w:sz="4" w:space="0" w:color="auto"/>
              <w:bottom w:val="single" w:sz="4" w:space="0" w:color="auto"/>
            </w:tcBorders>
            <w:vAlign w:val="center"/>
            <w:hideMark/>
          </w:tcPr>
          <w:p w14:paraId="4D4A4CC5"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10</w:t>
            </w:r>
          </w:p>
        </w:tc>
        <w:tc>
          <w:tcPr>
            <w:tcW w:w="1302" w:type="dxa"/>
            <w:tcBorders>
              <w:top w:val="single" w:sz="4" w:space="0" w:color="auto"/>
              <w:bottom w:val="single" w:sz="4" w:space="0" w:color="auto"/>
            </w:tcBorders>
            <w:vAlign w:val="center"/>
            <w:hideMark/>
          </w:tcPr>
          <w:p w14:paraId="36700AE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753" w:type="dxa"/>
            <w:tcBorders>
              <w:top w:val="single" w:sz="4" w:space="0" w:color="auto"/>
              <w:bottom w:val="single" w:sz="4" w:space="0" w:color="auto"/>
            </w:tcBorders>
            <w:vAlign w:val="center"/>
            <w:hideMark/>
          </w:tcPr>
          <w:p w14:paraId="035F9BB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20</w:t>
            </w:r>
          </w:p>
        </w:tc>
        <w:tc>
          <w:tcPr>
            <w:tcW w:w="1622" w:type="dxa"/>
            <w:vMerge/>
            <w:tcBorders>
              <w:top w:val="nil"/>
              <w:bottom w:val="single" w:sz="4" w:space="0" w:color="auto"/>
              <w:right w:val="single" w:sz="4" w:space="0" w:color="auto"/>
            </w:tcBorders>
            <w:vAlign w:val="center"/>
            <w:hideMark/>
          </w:tcPr>
          <w:p w14:paraId="05E458E7" w14:textId="77777777" w:rsidR="000E15B7" w:rsidRPr="00EC5748" w:rsidRDefault="000E15B7" w:rsidP="00EC5748">
            <w:pPr>
              <w:rPr>
                <w:rFonts w:eastAsia="Times New Roman"/>
                <w:color w:val="000000"/>
                <w:lang w:eastAsia="fr-CA"/>
              </w:rPr>
            </w:pPr>
          </w:p>
        </w:tc>
      </w:tr>
      <w:tr w:rsidR="000E15B7" w:rsidRPr="00EC5748" w14:paraId="74A79C26" w14:textId="77777777" w:rsidTr="004E323E">
        <w:trPr>
          <w:trHeight w:val="288"/>
        </w:trPr>
        <w:tc>
          <w:tcPr>
            <w:tcW w:w="1985" w:type="dxa"/>
            <w:vMerge/>
            <w:tcBorders>
              <w:top w:val="single" w:sz="4" w:space="0" w:color="000000"/>
              <w:left w:val="single" w:sz="4" w:space="0" w:color="auto"/>
              <w:bottom w:val="single" w:sz="4" w:space="0" w:color="auto"/>
            </w:tcBorders>
            <w:vAlign w:val="center"/>
            <w:hideMark/>
          </w:tcPr>
          <w:p w14:paraId="5CF58BFC" w14:textId="77777777" w:rsidR="000E15B7" w:rsidRPr="00EC5748" w:rsidRDefault="000E15B7" w:rsidP="00EC5748">
            <w:pPr>
              <w:rPr>
                <w:rFonts w:eastAsia="Times New Roman"/>
                <w:color w:val="000000"/>
                <w:lang w:eastAsia="fr-CA"/>
              </w:rPr>
            </w:pPr>
          </w:p>
        </w:tc>
        <w:tc>
          <w:tcPr>
            <w:tcW w:w="1632" w:type="dxa"/>
            <w:vMerge/>
            <w:tcBorders>
              <w:top w:val="single" w:sz="4" w:space="0" w:color="auto"/>
              <w:bottom w:val="single" w:sz="4" w:space="0" w:color="auto"/>
            </w:tcBorders>
            <w:vAlign w:val="center"/>
            <w:hideMark/>
          </w:tcPr>
          <w:p w14:paraId="53082DEB"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7BD6755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387" w:type="dxa"/>
            <w:tcBorders>
              <w:top w:val="single" w:sz="4" w:space="0" w:color="auto"/>
              <w:bottom w:val="single" w:sz="4" w:space="0" w:color="auto"/>
            </w:tcBorders>
            <w:vAlign w:val="center"/>
            <w:hideMark/>
          </w:tcPr>
          <w:p w14:paraId="6D61B804"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10</w:t>
            </w:r>
          </w:p>
        </w:tc>
        <w:tc>
          <w:tcPr>
            <w:tcW w:w="1302" w:type="dxa"/>
            <w:tcBorders>
              <w:top w:val="single" w:sz="4" w:space="0" w:color="auto"/>
              <w:bottom w:val="single" w:sz="4" w:space="0" w:color="auto"/>
            </w:tcBorders>
            <w:vAlign w:val="center"/>
            <w:hideMark/>
          </w:tcPr>
          <w:p w14:paraId="58DD710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753" w:type="dxa"/>
            <w:tcBorders>
              <w:top w:val="single" w:sz="4" w:space="0" w:color="auto"/>
              <w:bottom w:val="single" w:sz="4" w:space="0" w:color="auto"/>
            </w:tcBorders>
            <w:vAlign w:val="center"/>
            <w:hideMark/>
          </w:tcPr>
          <w:p w14:paraId="42470CD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20</w:t>
            </w:r>
          </w:p>
        </w:tc>
        <w:tc>
          <w:tcPr>
            <w:tcW w:w="1622" w:type="dxa"/>
            <w:tcBorders>
              <w:top w:val="single" w:sz="4" w:space="0" w:color="auto"/>
              <w:bottom w:val="single" w:sz="4" w:space="0" w:color="auto"/>
              <w:right w:val="single" w:sz="4" w:space="0" w:color="auto"/>
            </w:tcBorders>
            <w:vAlign w:val="center"/>
            <w:hideMark/>
          </w:tcPr>
          <w:p w14:paraId="3AC36287" w14:textId="783188E6" w:rsidR="000E15B7" w:rsidRPr="00EC5748" w:rsidRDefault="000E15B7" w:rsidP="00EC5748">
            <w:pPr>
              <w:jc w:val="center"/>
              <w:rPr>
                <w:rFonts w:eastAsia="Times New Roman"/>
                <w:color w:val="000000"/>
                <w:lang w:eastAsia="fr-CA"/>
              </w:rPr>
            </w:pPr>
            <w:r w:rsidRPr="00EC5748">
              <w:rPr>
                <w:rFonts w:eastAsia="Times New Roman"/>
                <w:color w:val="000000"/>
                <w:lang w:eastAsia="fr-CA"/>
              </w:rPr>
              <w:t> </w:t>
            </w:r>
            <w:proofErr w:type="gramStart"/>
            <w:r w:rsidR="00862C22">
              <w:rPr>
                <w:rFonts w:eastAsia="Times New Roman"/>
                <w:color w:val="000000"/>
                <w:lang w:eastAsia="fr-CA"/>
              </w:rPr>
              <w:t>s</w:t>
            </w:r>
            <w:proofErr w:type="gramEnd"/>
            <w:r w:rsidR="00862C22">
              <w:rPr>
                <w:rFonts w:eastAsia="Times New Roman"/>
                <w:color w:val="000000"/>
                <w:lang w:eastAsia="fr-CA"/>
              </w:rPr>
              <w:t>/o</w:t>
            </w:r>
          </w:p>
        </w:tc>
      </w:tr>
      <w:tr w:rsidR="000E15B7" w:rsidRPr="00EC5748" w14:paraId="3429B5D7" w14:textId="77777777" w:rsidTr="004E323E">
        <w:trPr>
          <w:trHeight w:val="288"/>
        </w:trPr>
        <w:tc>
          <w:tcPr>
            <w:tcW w:w="1985" w:type="dxa"/>
            <w:vMerge/>
            <w:tcBorders>
              <w:top w:val="single" w:sz="4" w:space="0" w:color="000000"/>
              <w:left w:val="single" w:sz="4" w:space="0" w:color="auto"/>
              <w:bottom w:val="single" w:sz="4" w:space="0" w:color="auto"/>
            </w:tcBorders>
            <w:vAlign w:val="center"/>
            <w:hideMark/>
          </w:tcPr>
          <w:p w14:paraId="5D1E461A" w14:textId="77777777" w:rsidR="000E15B7" w:rsidRPr="00EC5748" w:rsidRDefault="000E15B7" w:rsidP="00EC5748">
            <w:pPr>
              <w:rPr>
                <w:rFonts w:eastAsia="Times New Roman"/>
                <w:color w:val="000000"/>
                <w:lang w:eastAsia="fr-CA"/>
              </w:rPr>
            </w:pPr>
          </w:p>
        </w:tc>
        <w:tc>
          <w:tcPr>
            <w:tcW w:w="1632" w:type="dxa"/>
            <w:vMerge w:val="restart"/>
            <w:tcBorders>
              <w:top w:val="single" w:sz="4" w:space="0" w:color="auto"/>
              <w:bottom w:val="single" w:sz="4" w:space="0" w:color="auto"/>
            </w:tcBorders>
            <w:vAlign w:val="center"/>
            <w:hideMark/>
          </w:tcPr>
          <w:p w14:paraId="6D744DA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Capitale-Nationale</w:t>
            </w:r>
          </w:p>
        </w:tc>
        <w:tc>
          <w:tcPr>
            <w:tcW w:w="1376" w:type="dxa"/>
            <w:tcBorders>
              <w:top w:val="single" w:sz="4" w:space="0" w:color="auto"/>
              <w:bottom w:val="single" w:sz="4" w:space="0" w:color="auto"/>
            </w:tcBorders>
            <w:vAlign w:val="center"/>
            <w:hideMark/>
          </w:tcPr>
          <w:p w14:paraId="21D3E35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387" w:type="dxa"/>
            <w:tcBorders>
              <w:top w:val="single" w:sz="4" w:space="0" w:color="auto"/>
              <w:bottom w:val="single" w:sz="4" w:space="0" w:color="auto"/>
            </w:tcBorders>
            <w:vAlign w:val="center"/>
            <w:hideMark/>
          </w:tcPr>
          <w:p w14:paraId="58C4B11B"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5</w:t>
            </w:r>
          </w:p>
        </w:tc>
        <w:tc>
          <w:tcPr>
            <w:tcW w:w="1302" w:type="dxa"/>
            <w:tcBorders>
              <w:top w:val="single" w:sz="4" w:space="0" w:color="auto"/>
              <w:bottom w:val="single" w:sz="4" w:space="0" w:color="auto"/>
            </w:tcBorders>
            <w:vAlign w:val="center"/>
            <w:hideMark/>
          </w:tcPr>
          <w:p w14:paraId="0CCB3D5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w:t>
            </w:r>
          </w:p>
        </w:tc>
        <w:tc>
          <w:tcPr>
            <w:tcW w:w="1753" w:type="dxa"/>
            <w:tcBorders>
              <w:top w:val="single" w:sz="4" w:space="0" w:color="auto"/>
              <w:bottom w:val="single" w:sz="4" w:space="0" w:color="auto"/>
            </w:tcBorders>
            <w:vAlign w:val="center"/>
            <w:hideMark/>
          </w:tcPr>
          <w:p w14:paraId="6BFDE97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622" w:type="dxa"/>
            <w:vMerge w:val="restart"/>
            <w:tcBorders>
              <w:top w:val="single" w:sz="4" w:space="0" w:color="auto"/>
              <w:right w:val="single" w:sz="4" w:space="0" w:color="auto"/>
            </w:tcBorders>
            <w:vAlign w:val="center"/>
            <w:hideMark/>
          </w:tcPr>
          <w:p w14:paraId="06F3059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r>
      <w:tr w:rsidR="000E15B7" w:rsidRPr="00EC5748" w14:paraId="522E177E" w14:textId="77777777" w:rsidTr="004E323E">
        <w:trPr>
          <w:trHeight w:val="288"/>
        </w:trPr>
        <w:tc>
          <w:tcPr>
            <w:tcW w:w="1985" w:type="dxa"/>
            <w:vMerge/>
            <w:tcBorders>
              <w:top w:val="single" w:sz="4" w:space="0" w:color="000000"/>
              <w:left w:val="single" w:sz="4" w:space="0" w:color="auto"/>
              <w:bottom w:val="single" w:sz="4" w:space="0" w:color="auto"/>
            </w:tcBorders>
            <w:vAlign w:val="center"/>
            <w:hideMark/>
          </w:tcPr>
          <w:p w14:paraId="3F31BFFD" w14:textId="77777777" w:rsidR="000E15B7" w:rsidRPr="00EC5748" w:rsidRDefault="000E15B7" w:rsidP="00EC5748">
            <w:pPr>
              <w:rPr>
                <w:rFonts w:eastAsia="Times New Roman"/>
                <w:color w:val="000000"/>
                <w:lang w:eastAsia="fr-CA"/>
              </w:rPr>
            </w:pPr>
          </w:p>
        </w:tc>
        <w:tc>
          <w:tcPr>
            <w:tcW w:w="1632" w:type="dxa"/>
            <w:vMerge/>
            <w:tcBorders>
              <w:top w:val="nil"/>
              <w:bottom w:val="single" w:sz="4" w:space="0" w:color="auto"/>
            </w:tcBorders>
            <w:vAlign w:val="center"/>
            <w:hideMark/>
          </w:tcPr>
          <w:p w14:paraId="729F204D"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5DA7308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387" w:type="dxa"/>
            <w:tcBorders>
              <w:top w:val="single" w:sz="4" w:space="0" w:color="auto"/>
              <w:bottom w:val="single" w:sz="4" w:space="0" w:color="auto"/>
            </w:tcBorders>
            <w:vAlign w:val="center"/>
            <w:hideMark/>
          </w:tcPr>
          <w:p w14:paraId="71FE2706"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5</w:t>
            </w:r>
          </w:p>
        </w:tc>
        <w:tc>
          <w:tcPr>
            <w:tcW w:w="1302" w:type="dxa"/>
            <w:tcBorders>
              <w:top w:val="single" w:sz="4" w:space="0" w:color="auto"/>
              <w:bottom w:val="single" w:sz="4" w:space="0" w:color="auto"/>
            </w:tcBorders>
            <w:vAlign w:val="center"/>
            <w:hideMark/>
          </w:tcPr>
          <w:p w14:paraId="3E2C0BE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3AD1D7D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vMerge/>
            <w:tcBorders>
              <w:top w:val="nil"/>
              <w:right w:val="single" w:sz="4" w:space="0" w:color="auto"/>
            </w:tcBorders>
            <w:vAlign w:val="center"/>
            <w:hideMark/>
          </w:tcPr>
          <w:p w14:paraId="1F531A8B" w14:textId="77777777" w:rsidR="000E15B7" w:rsidRPr="00EC5748" w:rsidRDefault="000E15B7" w:rsidP="00EC5748">
            <w:pPr>
              <w:rPr>
                <w:rFonts w:eastAsia="Times New Roman"/>
                <w:color w:val="000000"/>
                <w:lang w:eastAsia="fr-CA"/>
              </w:rPr>
            </w:pPr>
          </w:p>
        </w:tc>
      </w:tr>
      <w:tr w:rsidR="000E15B7" w:rsidRPr="00EC5748" w14:paraId="7569BE5D" w14:textId="77777777" w:rsidTr="004E323E">
        <w:trPr>
          <w:trHeight w:val="288"/>
        </w:trPr>
        <w:tc>
          <w:tcPr>
            <w:tcW w:w="1985" w:type="dxa"/>
            <w:vMerge/>
            <w:tcBorders>
              <w:top w:val="single" w:sz="4" w:space="0" w:color="000000"/>
              <w:left w:val="single" w:sz="4" w:space="0" w:color="auto"/>
              <w:bottom w:val="single" w:sz="4" w:space="0" w:color="auto"/>
            </w:tcBorders>
            <w:vAlign w:val="center"/>
            <w:hideMark/>
          </w:tcPr>
          <w:p w14:paraId="4D48242D" w14:textId="77777777" w:rsidR="000E15B7" w:rsidRPr="00EC5748" w:rsidRDefault="000E15B7" w:rsidP="00EC5748">
            <w:pPr>
              <w:rPr>
                <w:rFonts w:eastAsia="Times New Roman"/>
                <w:color w:val="000000"/>
                <w:lang w:eastAsia="fr-CA"/>
              </w:rPr>
            </w:pPr>
          </w:p>
        </w:tc>
        <w:tc>
          <w:tcPr>
            <w:tcW w:w="1632" w:type="dxa"/>
            <w:vMerge/>
            <w:tcBorders>
              <w:top w:val="nil"/>
              <w:bottom w:val="single" w:sz="4" w:space="0" w:color="auto"/>
            </w:tcBorders>
            <w:vAlign w:val="center"/>
            <w:hideMark/>
          </w:tcPr>
          <w:p w14:paraId="63A09F4C"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240C155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387" w:type="dxa"/>
            <w:tcBorders>
              <w:top w:val="single" w:sz="4" w:space="0" w:color="auto"/>
              <w:bottom w:val="single" w:sz="4" w:space="0" w:color="auto"/>
            </w:tcBorders>
            <w:vAlign w:val="center"/>
            <w:hideMark/>
          </w:tcPr>
          <w:p w14:paraId="7E9C095D"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5</w:t>
            </w:r>
          </w:p>
        </w:tc>
        <w:tc>
          <w:tcPr>
            <w:tcW w:w="1302" w:type="dxa"/>
            <w:tcBorders>
              <w:top w:val="single" w:sz="4" w:space="0" w:color="auto"/>
              <w:bottom w:val="single" w:sz="4" w:space="0" w:color="auto"/>
            </w:tcBorders>
            <w:vAlign w:val="center"/>
            <w:hideMark/>
          </w:tcPr>
          <w:p w14:paraId="432035A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45B77E6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tcBorders>
              <w:top w:val="single" w:sz="4" w:space="0" w:color="auto"/>
              <w:bottom w:val="single" w:sz="4" w:space="0" w:color="auto"/>
              <w:right w:val="single" w:sz="4" w:space="0" w:color="auto"/>
            </w:tcBorders>
            <w:vAlign w:val="center"/>
            <w:hideMark/>
          </w:tcPr>
          <w:p w14:paraId="2B79A989" w14:textId="08504267" w:rsidR="000E15B7" w:rsidRPr="00EC5748" w:rsidRDefault="00862C22" w:rsidP="00EC5748">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29097CD5" w14:textId="77777777" w:rsidTr="004E323E">
        <w:trPr>
          <w:trHeight w:val="288"/>
        </w:trPr>
        <w:tc>
          <w:tcPr>
            <w:tcW w:w="1985" w:type="dxa"/>
            <w:vMerge/>
            <w:tcBorders>
              <w:top w:val="single" w:sz="4" w:space="0" w:color="000000"/>
              <w:left w:val="single" w:sz="4" w:space="0" w:color="auto"/>
              <w:bottom w:val="single" w:sz="4" w:space="0" w:color="auto"/>
            </w:tcBorders>
            <w:vAlign w:val="center"/>
            <w:hideMark/>
          </w:tcPr>
          <w:p w14:paraId="74B8EE91" w14:textId="77777777" w:rsidR="000E15B7" w:rsidRPr="00EC5748" w:rsidRDefault="000E15B7" w:rsidP="00EC5748">
            <w:pPr>
              <w:rPr>
                <w:rFonts w:eastAsia="Times New Roman"/>
                <w:color w:val="000000"/>
                <w:lang w:eastAsia="fr-CA"/>
              </w:rPr>
            </w:pPr>
          </w:p>
        </w:tc>
        <w:tc>
          <w:tcPr>
            <w:tcW w:w="1632" w:type="dxa"/>
            <w:vMerge w:val="restart"/>
            <w:tcBorders>
              <w:top w:val="single" w:sz="4" w:space="0" w:color="auto"/>
              <w:bottom w:val="single" w:sz="4" w:space="0" w:color="auto"/>
            </w:tcBorders>
            <w:vAlign w:val="center"/>
            <w:hideMark/>
          </w:tcPr>
          <w:p w14:paraId="75A52962" w14:textId="4A8E9662" w:rsidR="000E15B7" w:rsidRPr="00EC5748" w:rsidRDefault="000E15B7" w:rsidP="00EC5748">
            <w:pPr>
              <w:jc w:val="center"/>
              <w:rPr>
                <w:rFonts w:eastAsia="Times New Roman"/>
                <w:color w:val="000000"/>
                <w:lang w:eastAsia="fr-CA"/>
              </w:rPr>
            </w:pPr>
            <w:r w:rsidRPr="00EC5748">
              <w:rPr>
                <w:rFonts w:eastAsia="Times New Roman"/>
                <w:color w:val="000000"/>
                <w:lang w:eastAsia="fr-CA"/>
              </w:rPr>
              <w:t>Centre</w:t>
            </w:r>
            <w:r w:rsidR="00EC7D82">
              <w:rPr>
                <w:rFonts w:eastAsia="Times New Roman"/>
                <w:color w:val="000000"/>
                <w:lang w:eastAsia="fr-CA"/>
              </w:rPr>
              <w:t>-</w:t>
            </w:r>
            <w:r w:rsidRPr="00EC5748">
              <w:rPr>
                <w:rFonts w:eastAsia="Times New Roman"/>
                <w:color w:val="000000"/>
                <w:lang w:eastAsia="fr-CA"/>
              </w:rPr>
              <w:t>du</w:t>
            </w:r>
            <w:r w:rsidR="00EC7D82">
              <w:rPr>
                <w:rFonts w:eastAsia="Times New Roman"/>
                <w:color w:val="000000"/>
                <w:lang w:eastAsia="fr-CA"/>
              </w:rPr>
              <w:t>-</w:t>
            </w:r>
            <w:r w:rsidRPr="00EC5748">
              <w:rPr>
                <w:rFonts w:eastAsia="Times New Roman"/>
                <w:color w:val="000000"/>
                <w:lang w:eastAsia="fr-CA"/>
              </w:rPr>
              <w:t>Québec</w:t>
            </w:r>
          </w:p>
        </w:tc>
        <w:tc>
          <w:tcPr>
            <w:tcW w:w="1376" w:type="dxa"/>
            <w:tcBorders>
              <w:top w:val="single" w:sz="4" w:space="0" w:color="auto"/>
              <w:bottom w:val="single" w:sz="4" w:space="0" w:color="auto"/>
            </w:tcBorders>
            <w:vAlign w:val="center"/>
            <w:hideMark/>
          </w:tcPr>
          <w:p w14:paraId="5C31866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387" w:type="dxa"/>
            <w:tcBorders>
              <w:top w:val="single" w:sz="4" w:space="0" w:color="auto"/>
              <w:bottom w:val="single" w:sz="4" w:space="0" w:color="auto"/>
            </w:tcBorders>
            <w:vAlign w:val="center"/>
            <w:hideMark/>
          </w:tcPr>
          <w:p w14:paraId="72FE8D69"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20</w:t>
            </w:r>
          </w:p>
        </w:tc>
        <w:tc>
          <w:tcPr>
            <w:tcW w:w="1302" w:type="dxa"/>
            <w:tcBorders>
              <w:top w:val="single" w:sz="4" w:space="0" w:color="auto"/>
              <w:bottom w:val="single" w:sz="4" w:space="0" w:color="auto"/>
            </w:tcBorders>
            <w:vAlign w:val="center"/>
            <w:hideMark/>
          </w:tcPr>
          <w:p w14:paraId="2A83ED7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20</w:t>
            </w:r>
          </w:p>
        </w:tc>
        <w:tc>
          <w:tcPr>
            <w:tcW w:w="1753" w:type="dxa"/>
            <w:tcBorders>
              <w:top w:val="single" w:sz="4" w:space="0" w:color="auto"/>
              <w:bottom w:val="single" w:sz="4" w:space="0" w:color="auto"/>
            </w:tcBorders>
            <w:vAlign w:val="center"/>
            <w:hideMark/>
          </w:tcPr>
          <w:p w14:paraId="223A56B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622" w:type="dxa"/>
            <w:vMerge w:val="restart"/>
            <w:tcBorders>
              <w:top w:val="single" w:sz="4" w:space="0" w:color="auto"/>
              <w:right w:val="single" w:sz="4" w:space="0" w:color="auto"/>
            </w:tcBorders>
            <w:vAlign w:val="center"/>
            <w:hideMark/>
          </w:tcPr>
          <w:p w14:paraId="331E35F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r>
      <w:tr w:rsidR="000E15B7" w:rsidRPr="00EC5748" w14:paraId="7CACAB40" w14:textId="77777777" w:rsidTr="004E323E">
        <w:trPr>
          <w:trHeight w:val="288"/>
        </w:trPr>
        <w:tc>
          <w:tcPr>
            <w:tcW w:w="1985" w:type="dxa"/>
            <w:vMerge/>
            <w:tcBorders>
              <w:top w:val="single" w:sz="4" w:space="0" w:color="000000"/>
              <w:left w:val="single" w:sz="4" w:space="0" w:color="auto"/>
              <w:bottom w:val="single" w:sz="4" w:space="0" w:color="auto"/>
            </w:tcBorders>
            <w:vAlign w:val="center"/>
            <w:hideMark/>
          </w:tcPr>
          <w:p w14:paraId="6C06B604" w14:textId="77777777" w:rsidR="000E15B7" w:rsidRPr="00EC5748" w:rsidRDefault="000E15B7" w:rsidP="00EC5748">
            <w:pPr>
              <w:rPr>
                <w:rFonts w:eastAsia="Times New Roman"/>
                <w:color w:val="000000"/>
                <w:lang w:eastAsia="fr-CA"/>
              </w:rPr>
            </w:pPr>
          </w:p>
        </w:tc>
        <w:tc>
          <w:tcPr>
            <w:tcW w:w="1632" w:type="dxa"/>
            <w:vMerge/>
            <w:tcBorders>
              <w:top w:val="nil"/>
              <w:bottom w:val="single" w:sz="4" w:space="0" w:color="auto"/>
            </w:tcBorders>
            <w:vAlign w:val="center"/>
            <w:hideMark/>
          </w:tcPr>
          <w:p w14:paraId="5881B1F6"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0295039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387" w:type="dxa"/>
            <w:tcBorders>
              <w:top w:val="single" w:sz="4" w:space="0" w:color="auto"/>
              <w:bottom w:val="single" w:sz="4" w:space="0" w:color="auto"/>
            </w:tcBorders>
            <w:vAlign w:val="center"/>
            <w:hideMark/>
          </w:tcPr>
          <w:p w14:paraId="29B837F6"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20</w:t>
            </w:r>
          </w:p>
        </w:tc>
        <w:tc>
          <w:tcPr>
            <w:tcW w:w="1302" w:type="dxa"/>
            <w:tcBorders>
              <w:top w:val="single" w:sz="4" w:space="0" w:color="auto"/>
              <w:bottom w:val="single" w:sz="4" w:space="0" w:color="auto"/>
            </w:tcBorders>
            <w:vAlign w:val="center"/>
            <w:hideMark/>
          </w:tcPr>
          <w:p w14:paraId="1B47AC5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27AC4E0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vMerge/>
            <w:tcBorders>
              <w:top w:val="nil"/>
              <w:bottom w:val="single" w:sz="4" w:space="0" w:color="auto"/>
              <w:right w:val="single" w:sz="4" w:space="0" w:color="auto"/>
            </w:tcBorders>
            <w:vAlign w:val="center"/>
            <w:hideMark/>
          </w:tcPr>
          <w:p w14:paraId="1839CE51" w14:textId="77777777" w:rsidR="000E15B7" w:rsidRPr="00EC5748" w:rsidRDefault="000E15B7" w:rsidP="00EC5748">
            <w:pPr>
              <w:rPr>
                <w:rFonts w:eastAsia="Times New Roman"/>
                <w:color w:val="000000"/>
                <w:lang w:eastAsia="fr-CA"/>
              </w:rPr>
            </w:pPr>
          </w:p>
        </w:tc>
      </w:tr>
      <w:tr w:rsidR="000E15B7" w:rsidRPr="00EC5748" w14:paraId="05D9AA4E" w14:textId="77777777" w:rsidTr="004E323E">
        <w:trPr>
          <w:trHeight w:val="288"/>
        </w:trPr>
        <w:tc>
          <w:tcPr>
            <w:tcW w:w="1985" w:type="dxa"/>
            <w:vMerge/>
            <w:tcBorders>
              <w:top w:val="single" w:sz="4" w:space="0" w:color="000000"/>
              <w:left w:val="single" w:sz="4" w:space="0" w:color="auto"/>
              <w:bottom w:val="single" w:sz="4" w:space="0" w:color="auto"/>
            </w:tcBorders>
            <w:vAlign w:val="center"/>
            <w:hideMark/>
          </w:tcPr>
          <w:p w14:paraId="0732AE70" w14:textId="77777777" w:rsidR="000E15B7" w:rsidRPr="00EC5748" w:rsidRDefault="000E15B7" w:rsidP="00EC5748">
            <w:pPr>
              <w:rPr>
                <w:rFonts w:eastAsia="Times New Roman"/>
                <w:color w:val="000000"/>
                <w:lang w:eastAsia="fr-CA"/>
              </w:rPr>
            </w:pPr>
          </w:p>
        </w:tc>
        <w:tc>
          <w:tcPr>
            <w:tcW w:w="1632" w:type="dxa"/>
            <w:vMerge/>
            <w:tcBorders>
              <w:top w:val="nil"/>
              <w:bottom w:val="single" w:sz="4" w:space="0" w:color="auto"/>
            </w:tcBorders>
            <w:vAlign w:val="center"/>
            <w:hideMark/>
          </w:tcPr>
          <w:p w14:paraId="3E5ABFA7"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3A772FA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387" w:type="dxa"/>
            <w:tcBorders>
              <w:top w:val="single" w:sz="4" w:space="0" w:color="auto"/>
              <w:bottom w:val="single" w:sz="4" w:space="0" w:color="auto"/>
            </w:tcBorders>
            <w:vAlign w:val="center"/>
            <w:hideMark/>
          </w:tcPr>
          <w:p w14:paraId="096BE62C"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20</w:t>
            </w:r>
          </w:p>
        </w:tc>
        <w:tc>
          <w:tcPr>
            <w:tcW w:w="1302" w:type="dxa"/>
            <w:tcBorders>
              <w:top w:val="single" w:sz="4" w:space="0" w:color="auto"/>
              <w:bottom w:val="single" w:sz="4" w:space="0" w:color="auto"/>
            </w:tcBorders>
            <w:vAlign w:val="center"/>
            <w:hideMark/>
          </w:tcPr>
          <w:p w14:paraId="0B69EAE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7966176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tcBorders>
              <w:top w:val="single" w:sz="4" w:space="0" w:color="auto"/>
              <w:bottom w:val="single" w:sz="4" w:space="0" w:color="auto"/>
              <w:right w:val="single" w:sz="4" w:space="0" w:color="auto"/>
            </w:tcBorders>
            <w:vAlign w:val="center"/>
            <w:hideMark/>
          </w:tcPr>
          <w:p w14:paraId="5C9CC90C" w14:textId="178D611B" w:rsidR="000E15B7" w:rsidRPr="00EC5748" w:rsidRDefault="00862C22" w:rsidP="00EC5748">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2E4F85B5" w14:textId="77777777" w:rsidTr="004E323E">
        <w:trPr>
          <w:trHeight w:val="288"/>
        </w:trPr>
        <w:tc>
          <w:tcPr>
            <w:tcW w:w="1985" w:type="dxa"/>
            <w:vMerge/>
            <w:tcBorders>
              <w:top w:val="single" w:sz="4" w:space="0" w:color="000000"/>
              <w:left w:val="single" w:sz="4" w:space="0" w:color="auto"/>
              <w:bottom w:val="single" w:sz="4" w:space="0" w:color="auto"/>
            </w:tcBorders>
            <w:vAlign w:val="center"/>
            <w:hideMark/>
          </w:tcPr>
          <w:p w14:paraId="0A6716C1" w14:textId="77777777" w:rsidR="000E15B7" w:rsidRPr="00EC5748" w:rsidRDefault="000E15B7" w:rsidP="00EC5748">
            <w:pPr>
              <w:rPr>
                <w:rFonts w:eastAsia="Times New Roman"/>
                <w:color w:val="000000"/>
                <w:lang w:eastAsia="fr-CA"/>
              </w:rPr>
            </w:pPr>
          </w:p>
        </w:tc>
        <w:tc>
          <w:tcPr>
            <w:tcW w:w="1632" w:type="dxa"/>
            <w:vMerge w:val="restart"/>
            <w:tcBorders>
              <w:top w:val="single" w:sz="4" w:space="0" w:color="auto"/>
              <w:bottom w:val="single" w:sz="4" w:space="0" w:color="auto"/>
            </w:tcBorders>
            <w:vAlign w:val="center"/>
            <w:hideMark/>
          </w:tcPr>
          <w:p w14:paraId="2FE0A83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Estrie</w:t>
            </w:r>
          </w:p>
        </w:tc>
        <w:tc>
          <w:tcPr>
            <w:tcW w:w="1376" w:type="dxa"/>
            <w:tcBorders>
              <w:top w:val="single" w:sz="4" w:space="0" w:color="auto"/>
              <w:bottom w:val="single" w:sz="4" w:space="0" w:color="auto"/>
            </w:tcBorders>
            <w:vAlign w:val="center"/>
            <w:hideMark/>
          </w:tcPr>
          <w:p w14:paraId="58A2A92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387" w:type="dxa"/>
            <w:tcBorders>
              <w:top w:val="single" w:sz="4" w:space="0" w:color="auto"/>
              <w:bottom w:val="single" w:sz="4" w:space="0" w:color="auto"/>
            </w:tcBorders>
            <w:vAlign w:val="center"/>
            <w:hideMark/>
          </w:tcPr>
          <w:p w14:paraId="73407FE7"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10</w:t>
            </w:r>
          </w:p>
        </w:tc>
        <w:tc>
          <w:tcPr>
            <w:tcW w:w="1302" w:type="dxa"/>
            <w:tcBorders>
              <w:top w:val="single" w:sz="4" w:space="0" w:color="auto"/>
              <w:bottom w:val="single" w:sz="4" w:space="0" w:color="auto"/>
            </w:tcBorders>
            <w:vAlign w:val="center"/>
            <w:hideMark/>
          </w:tcPr>
          <w:p w14:paraId="0C77C45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w:t>
            </w:r>
          </w:p>
        </w:tc>
        <w:tc>
          <w:tcPr>
            <w:tcW w:w="1753" w:type="dxa"/>
            <w:tcBorders>
              <w:top w:val="single" w:sz="4" w:space="0" w:color="auto"/>
              <w:bottom w:val="single" w:sz="4" w:space="0" w:color="auto"/>
            </w:tcBorders>
            <w:vAlign w:val="center"/>
            <w:hideMark/>
          </w:tcPr>
          <w:p w14:paraId="69B42E8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622" w:type="dxa"/>
            <w:vMerge w:val="restart"/>
            <w:tcBorders>
              <w:top w:val="single" w:sz="4" w:space="0" w:color="auto"/>
              <w:right w:val="single" w:sz="4" w:space="0" w:color="auto"/>
            </w:tcBorders>
            <w:vAlign w:val="center"/>
            <w:hideMark/>
          </w:tcPr>
          <w:p w14:paraId="40699A4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r>
      <w:tr w:rsidR="000E15B7" w:rsidRPr="00EC5748" w14:paraId="2ECBEE95" w14:textId="77777777" w:rsidTr="004E323E">
        <w:trPr>
          <w:trHeight w:val="288"/>
        </w:trPr>
        <w:tc>
          <w:tcPr>
            <w:tcW w:w="1985" w:type="dxa"/>
            <w:vMerge/>
            <w:tcBorders>
              <w:top w:val="single" w:sz="4" w:space="0" w:color="000000"/>
              <w:left w:val="single" w:sz="4" w:space="0" w:color="auto"/>
              <w:bottom w:val="single" w:sz="4" w:space="0" w:color="auto"/>
            </w:tcBorders>
            <w:vAlign w:val="center"/>
            <w:hideMark/>
          </w:tcPr>
          <w:p w14:paraId="3BC93F48" w14:textId="77777777" w:rsidR="000E15B7" w:rsidRPr="00EC5748" w:rsidRDefault="000E15B7" w:rsidP="00EC5748">
            <w:pPr>
              <w:rPr>
                <w:rFonts w:eastAsia="Times New Roman"/>
                <w:color w:val="000000"/>
                <w:lang w:eastAsia="fr-CA"/>
              </w:rPr>
            </w:pPr>
          </w:p>
        </w:tc>
        <w:tc>
          <w:tcPr>
            <w:tcW w:w="1632" w:type="dxa"/>
            <w:vMerge/>
            <w:tcBorders>
              <w:top w:val="nil"/>
              <w:bottom w:val="single" w:sz="4" w:space="0" w:color="auto"/>
            </w:tcBorders>
            <w:vAlign w:val="center"/>
            <w:hideMark/>
          </w:tcPr>
          <w:p w14:paraId="328D6E6C"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76D1E0B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387" w:type="dxa"/>
            <w:tcBorders>
              <w:top w:val="single" w:sz="4" w:space="0" w:color="auto"/>
              <w:bottom w:val="single" w:sz="4" w:space="0" w:color="auto"/>
            </w:tcBorders>
            <w:vAlign w:val="center"/>
            <w:hideMark/>
          </w:tcPr>
          <w:p w14:paraId="6CA721F3"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10</w:t>
            </w:r>
          </w:p>
        </w:tc>
        <w:tc>
          <w:tcPr>
            <w:tcW w:w="1302" w:type="dxa"/>
            <w:tcBorders>
              <w:top w:val="single" w:sz="4" w:space="0" w:color="auto"/>
              <w:bottom w:val="single" w:sz="4" w:space="0" w:color="auto"/>
            </w:tcBorders>
            <w:vAlign w:val="center"/>
            <w:hideMark/>
          </w:tcPr>
          <w:p w14:paraId="62CE542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vAlign w:val="center"/>
            <w:hideMark/>
          </w:tcPr>
          <w:p w14:paraId="207F0CC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vMerge/>
            <w:tcBorders>
              <w:top w:val="nil"/>
              <w:bottom w:val="single" w:sz="4" w:space="0" w:color="auto"/>
              <w:right w:val="single" w:sz="4" w:space="0" w:color="auto"/>
            </w:tcBorders>
            <w:vAlign w:val="center"/>
            <w:hideMark/>
          </w:tcPr>
          <w:p w14:paraId="451AC387" w14:textId="77777777" w:rsidR="000E15B7" w:rsidRPr="00EC5748" w:rsidRDefault="000E15B7" w:rsidP="00EC5748">
            <w:pPr>
              <w:rPr>
                <w:rFonts w:eastAsia="Times New Roman"/>
                <w:color w:val="000000"/>
                <w:lang w:eastAsia="fr-CA"/>
              </w:rPr>
            </w:pPr>
          </w:p>
        </w:tc>
      </w:tr>
      <w:tr w:rsidR="000E15B7" w:rsidRPr="00EC5748" w14:paraId="147FF210" w14:textId="77777777" w:rsidTr="004E323E">
        <w:trPr>
          <w:trHeight w:val="288"/>
        </w:trPr>
        <w:tc>
          <w:tcPr>
            <w:tcW w:w="1985" w:type="dxa"/>
            <w:vMerge/>
            <w:tcBorders>
              <w:top w:val="single" w:sz="4" w:space="0" w:color="000000"/>
              <w:left w:val="single" w:sz="4" w:space="0" w:color="auto"/>
              <w:bottom w:val="single" w:sz="4" w:space="0" w:color="auto"/>
            </w:tcBorders>
            <w:vAlign w:val="center"/>
            <w:hideMark/>
          </w:tcPr>
          <w:p w14:paraId="608C8A1E" w14:textId="77777777" w:rsidR="000E15B7" w:rsidRPr="00EC5748" w:rsidRDefault="000E15B7" w:rsidP="00EC5748">
            <w:pPr>
              <w:rPr>
                <w:rFonts w:eastAsia="Times New Roman"/>
                <w:color w:val="000000"/>
                <w:lang w:eastAsia="fr-CA"/>
              </w:rPr>
            </w:pPr>
          </w:p>
        </w:tc>
        <w:tc>
          <w:tcPr>
            <w:tcW w:w="1632" w:type="dxa"/>
            <w:vMerge/>
            <w:tcBorders>
              <w:top w:val="nil"/>
              <w:bottom w:val="single" w:sz="4" w:space="0" w:color="auto"/>
            </w:tcBorders>
            <w:vAlign w:val="center"/>
            <w:hideMark/>
          </w:tcPr>
          <w:p w14:paraId="0A9B7F63" w14:textId="77777777" w:rsidR="000E15B7" w:rsidRPr="00EC5748" w:rsidRDefault="000E15B7" w:rsidP="00EC5748">
            <w:pPr>
              <w:rPr>
                <w:rFonts w:eastAsia="Times New Roman"/>
                <w:color w:val="000000"/>
                <w:lang w:eastAsia="fr-CA"/>
              </w:rPr>
            </w:pPr>
          </w:p>
        </w:tc>
        <w:tc>
          <w:tcPr>
            <w:tcW w:w="1376" w:type="dxa"/>
            <w:tcBorders>
              <w:top w:val="single" w:sz="4" w:space="0" w:color="auto"/>
              <w:bottom w:val="single" w:sz="4" w:space="0" w:color="auto"/>
            </w:tcBorders>
            <w:vAlign w:val="center"/>
            <w:hideMark/>
          </w:tcPr>
          <w:p w14:paraId="0A72AE5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387" w:type="dxa"/>
            <w:tcBorders>
              <w:top w:val="single" w:sz="4" w:space="0" w:color="auto"/>
              <w:bottom w:val="single" w:sz="4" w:space="0" w:color="auto"/>
            </w:tcBorders>
            <w:noWrap/>
            <w:vAlign w:val="bottom"/>
            <w:hideMark/>
          </w:tcPr>
          <w:p w14:paraId="6C96197D" w14:textId="77777777" w:rsidR="000E15B7" w:rsidRPr="00EC5748" w:rsidRDefault="000E15B7" w:rsidP="00EC5748">
            <w:pPr>
              <w:ind w:right="322"/>
              <w:jc w:val="center"/>
              <w:rPr>
                <w:rFonts w:eastAsia="Times New Roman"/>
                <w:color w:val="000000"/>
                <w:lang w:eastAsia="fr-CA"/>
              </w:rPr>
            </w:pPr>
            <w:r w:rsidRPr="00EC5748">
              <w:rPr>
                <w:rFonts w:eastAsia="Times New Roman"/>
                <w:color w:val="000000"/>
                <w:lang w:eastAsia="fr-CA"/>
              </w:rPr>
              <w:t>10</w:t>
            </w:r>
          </w:p>
        </w:tc>
        <w:tc>
          <w:tcPr>
            <w:tcW w:w="1302" w:type="dxa"/>
            <w:tcBorders>
              <w:top w:val="single" w:sz="4" w:space="0" w:color="auto"/>
              <w:bottom w:val="single" w:sz="4" w:space="0" w:color="auto"/>
            </w:tcBorders>
            <w:noWrap/>
            <w:vAlign w:val="bottom"/>
            <w:hideMark/>
          </w:tcPr>
          <w:p w14:paraId="555CB5D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53" w:type="dxa"/>
            <w:tcBorders>
              <w:top w:val="single" w:sz="4" w:space="0" w:color="auto"/>
              <w:bottom w:val="single" w:sz="4" w:space="0" w:color="auto"/>
            </w:tcBorders>
            <w:noWrap/>
            <w:vAlign w:val="bottom"/>
            <w:hideMark/>
          </w:tcPr>
          <w:p w14:paraId="60B9B70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622" w:type="dxa"/>
            <w:tcBorders>
              <w:top w:val="single" w:sz="4" w:space="0" w:color="auto"/>
              <w:bottom w:val="single" w:sz="4" w:space="0" w:color="auto"/>
              <w:right w:val="single" w:sz="4" w:space="0" w:color="auto"/>
            </w:tcBorders>
            <w:vAlign w:val="center"/>
            <w:hideMark/>
          </w:tcPr>
          <w:p w14:paraId="4FAF55EB" w14:textId="392CF3C6" w:rsidR="000E15B7" w:rsidRPr="00EC5748" w:rsidRDefault="000E15B7" w:rsidP="00EC5748">
            <w:pPr>
              <w:jc w:val="center"/>
              <w:rPr>
                <w:rFonts w:eastAsia="Times New Roman"/>
                <w:color w:val="000000"/>
                <w:lang w:eastAsia="fr-CA"/>
              </w:rPr>
            </w:pPr>
            <w:r w:rsidRPr="00EC5748">
              <w:rPr>
                <w:rFonts w:eastAsia="Times New Roman"/>
                <w:color w:val="000000"/>
                <w:lang w:eastAsia="fr-CA"/>
              </w:rPr>
              <w:t> </w:t>
            </w:r>
            <w:proofErr w:type="gramStart"/>
            <w:r w:rsidR="00862C22">
              <w:rPr>
                <w:rFonts w:eastAsia="Times New Roman"/>
                <w:color w:val="000000"/>
                <w:lang w:eastAsia="fr-CA"/>
              </w:rPr>
              <w:t>s</w:t>
            </w:r>
            <w:proofErr w:type="gramEnd"/>
            <w:r w:rsidR="00862C22">
              <w:rPr>
                <w:rFonts w:eastAsia="Times New Roman"/>
                <w:color w:val="000000"/>
                <w:lang w:eastAsia="fr-CA"/>
              </w:rPr>
              <w:t>/o</w:t>
            </w:r>
          </w:p>
        </w:tc>
      </w:tr>
    </w:tbl>
    <w:p w14:paraId="0B76138D" w14:textId="77777777" w:rsidR="000E15B7" w:rsidRPr="00EC5748" w:rsidRDefault="000E15B7" w:rsidP="000E15B7">
      <w:pPr>
        <w:jc w:val="both"/>
      </w:pPr>
      <w:r w:rsidRPr="00EC5748">
        <w:rPr>
          <w:sz w:val="20"/>
          <w:szCs w:val="20"/>
        </w:rPr>
        <w:t xml:space="preserve">* Dans le cadre de </w:t>
      </w:r>
      <w:proofErr w:type="spellStart"/>
      <w:r w:rsidRPr="00EC5748">
        <w:rPr>
          <w:i/>
          <w:iCs/>
          <w:sz w:val="20"/>
          <w:szCs w:val="20"/>
        </w:rPr>
        <w:t>Colletotrichum</w:t>
      </w:r>
      <w:proofErr w:type="spellEnd"/>
      <w:r w:rsidRPr="00EC5748">
        <w:rPr>
          <w:i/>
          <w:iCs/>
          <w:sz w:val="20"/>
          <w:szCs w:val="20"/>
        </w:rPr>
        <w:t xml:space="preserve"> </w:t>
      </w:r>
      <w:proofErr w:type="spellStart"/>
      <w:r w:rsidRPr="00EC5748">
        <w:rPr>
          <w:sz w:val="20"/>
          <w:szCs w:val="20"/>
        </w:rPr>
        <w:t>spp</w:t>
      </w:r>
      <w:proofErr w:type="spellEnd"/>
      <w:r w:rsidRPr="00EC5748">
        <w:rPr>
          <w:sz w:val="20"/>
          <w:szCs w:val="20"/>
        </w:rPr>
        <w:t>., seul le pourcentage des souches résistantes aux fongicides du groupe 11 est rapporté. Ce champignon est insensible aux fongicides du groupe 7.</w:t>
      </w:r>
    </w:p>
    <w:p w14:paraId="4BD8C37E" w14:textId="77777777" w:rsidR="000E15B7" w:rsidRPr="00EC5748" w:rsidRDefault="000E15B7" w:rsidP="000E15B7">
      <w:pPr>
        <w:jc w:val="both"/>
        <w:rPr>
          <w:b/>
          <w:bCs/>
        </w:rPr>
      </w:pPr>
    </w:p>
    <w:p w14:paraId="55D08640" w14:textId="77777777" w:rsidR="000E15B7" w:rsidRPr="00EC5748" w:rsidRDefault="000E15B7" w:rsidP="000E15B7">
      <w:pPr>
        <w:jc w:val="both"/>
        <w:rPr>
          <w:b/>
          <w:bCs/>
          <w:color w:val="709FDB" w:themeColor="text2" w:themeTint="80"/>
        </w:rPr>
      </w:pPr>
      <w:r w:rsidRPr="00EC5748">
        <w:rPr>
          <w:b/>
          <w:bCs/>
          <w:color w:val="709FDB" w:themeColor="text2" w:themeTint="80"/>
        </w:rPr>
        <w:t>- Fraisier -</w:t>
      </w:r>
    </w:p>
    <w:tbl>
      <w:tblPr>
        <w:tblW w:w="11057" w:type="dxa"/>
        <w:tblInd w:w="-431" w:type="dxa"/>
        <w:tblCellMar>
          <w:left w:w="70" w:type="dxa"/>
          <w:right w:w="70" w:type="dxa"/>
        </w:tblCellMar>
        <w:tblLook w:val="04A0" w:firstRow="1" w:lastRow="0" w:firstColumn="1" w:lastColumn="0" w:noHBand="0" w:noVBand="1"/>
      </w:tblPr>
      <w:tblGrid>
        <w:gridCol w:w="1985"/>
        <w:gridCol w:w="1632"/>
        <w:gridCol w:w="1707"/>
        <w:gridCol w:w="1128"/>
        <w:gridCol w:w="215"/>
        <w:gridCol w:w="1144"/>
        <w:gridCol w:w="158"/>
        <w:gridCol w:w="1683"/>
        <w:gridCol w:w="1405"/>
      </w:tblGrid>
      <w:tr w:rsidR="000E15B7" w:rsidRPr="00EC5748" w14:paraId="29A05499" w14:textId="77777777" w:rsidTr="004E323E">
        <w:trPr>
          <w:trHeight w:val="1560"/>
        </w:trPr>
        <w:tc>
          <w:tcPr>
            <w:tcW w:w="1985" w:type="dxa"/>
            <w:tcBorders>
              <w:top w:val="single" w:sz="4" w:space="0" w:color="auto"/>
              <w:left w:val="single" w:sz="4" w:space="0" w:color="auto"/>
              <w:bottom w:val="single" w:sz="4" w:space="0" w:color="auto"/>
              <w:right w:val="single" w:sz="4" w:space="0" w:color="auto"/>
            </w:tcBorders>
            <w:shd w:val="clear" w:color="auto" w:fill="E1EBF7" w:themeFill="text2" w:themeFillTint="1A"/>
            <w:noWrap/>
            <w:vAlign w:val="center"/>
            <w:hideMark/>
          </w:tcPr>
          <w:p w14:paraId="3BBB180C" w14:textId="77777777" w:rsidR="000E15B7" w:rsidRPr="00EC5748" w:rsidRDefault="000E15B7" w:rsidP="00EC5748">
            <w:pPr>
              <w:jc w:val="center"/>
              <w:rPr>
                <w:rFonts w:eastAsia="Times New Roman"/>
                <w:b/>
                <w:bCs/>
                <w:lang w:eastAsia="fr-CA"/>
              </w:rPr>
            </w:pPr>
            <w:r w:rsidRPr="00EC5748">
              <w:rPr>
                <w:rFonts w:eastAsia="Times New Roman"/>
                <w:b/>
                <w:bCs/>
                <w:lang w:eastAsia="fr-CA"/>
              </w:rPr>
              <w:t>Champignon</w:t>
            </w:r>
          </w:p>
        </w:tc>
        <w:tc>
          <w:tcPr>
            <w:tcW w:w="1632"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13965330" w14:textId="77777777" w:rsidR="000E15B7" w:rsidRPr="00EC5748" w:rsidRDefault="000E15B7" w:rsidP="00EC5748">
            <w:pPr>
              <w:jc w:val="center"/>
              <w:rPr>
                <w:rFonts w:eastAsia="Times New Roman"/>
                <w:b/>
                <w:bCs/>
                <w:lang w:eastAsia="fr-CA"/>
              </w:rPr>
            </w:pPr>
            <w:r w:rsidRPr="00EC5748">
              <w:rPr>
                <w:rFonts w:eastAsia="Times New Roman"/>
                <w:b/>
                <w:bCs/>
                <w:lang w:eastAsia="fr-CA"/>
              </w:rPr>
              <w:t>Région administrative</w:t>
            </w:r>
          </w:p>
        </w:tc>
        <w:tc>
          <w:tcPr>
            <w:tcW w:w="1707"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09020F37" w14:textId="77777777" w:rsidR="000E15B7" w:rsidRPr="00EC5748" w:rsidRDefault="000E15B7" w:rsidP="00EC5748">
            <w:pPr>
              <w:jc w:val="center"/>
              <w:rPr>
                <w:rFonts w:eastAsia="Times New Roman"/>
                <w:b/>
                <w:bCs/>
                <w:lang w:eastAsia="fr-CA"/>
              </w:rPr>
            </w:pPr>
            <w:r w:rsidRPr="00EC5748">
              <w:rPr>
                <w:rFonts w:eastAsia="Times New Roman"/>
                <w:b/>
                <w:bCs/>
                <w:lang w:eastAsia="fr-CA"/>
              </w:rPr>
              <w:t>Groupe(s) de fongicides FRAC</w:t>
            </w:r>
          </w:p>
        </w:tc>
        <w:tc>
          <w:tcPr>
            <w:tcW w:w="1343" w:type="dxa"/>
            <w:gridSpan w:val="2"/>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2F0E5BFE" w14:textId="77777777" w:rsidR="000E15B7" w:rsidRPr="00EC5748" w:rsidRDefault="000E15B7" w:rsidP="00EC5748">
            <w:pPr>
              <w:jc w:val="center"/>
              <w:rPr>
                <w:rFonts w:eastAsia="Times New Roman"/>
                <w:b/>
                <w:bCs/>
                <w:lang w:eastAsia="fr-CA"/>
              </w:rPr>
            </w:pPr>
            <w:r w:rsidRPr="00EC5748">
              <w:rPr>
                <w:rFonts w:eastAsia="Times New Roman"/>
                <w:b/>
                <w:bCs/>
                <w:lang w:eastAsia="fr-CA"/>
              </w:rPr>
              <w:t>Nombre de souches testées</w:t>
            </w:r>
          </w:p>
        </w:tc>
        <w:tc>
          <w:tcPr>
            <w:tcW w:w="1302" w:type="dxa"/>
            <w:gridSpan w:val="2"/>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54EBDCCA" w14:textId="77777777" w:rsidR="000E15B7" w:rsidRPr="00EC5748" w:rsidRDefault="000E15B7" w:rsidP="00EC5748">
            <w:pPr>
              <w:jc w:val="center"/>
              <w:rPr>
                <w:rFonts w:eastAsia="Times New Roman"/>
                <w:b/>
                <w:bCs/>
                <w:lang w:eastAsia="fr-CA"/>
              </w:rPr>
            </w:pPr>
            <w:r w:rsidRPr="00EC5748">
              <w:rPr>
                <w:rFonts w:eastAsia="Times New Roman"/>
                <w:b/>
                <w:bCs/>
                <w:lang w:eastAsia="fr-CA"/>
              </w:rPr>
              <w:t>Nombre de souches résistantes</w:t>
            </w:r>
          </w:p>
        </w:tc>
        <w:tc>
          <w:tcPr>
            <w:tcW w:w="1683"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77821017" w14:textId="77777777" w:rsidR="000E15B7" w:rsidRPr="00EC5748" w:rsidRDefault="000E15B7" w:rsidP="00EC5748">
            <w:pPr>
              <w:jc w:val="center"/>
              <w:rPr>
                <w:rFonts w:eastAsia="Times New Roman"/>
                <w:b/>
                <w:bCs/>
                <w:lang w:eastAsia="fr-CA"/>
              </w:rPr>
            </w:pPr>
            <w:r w:rsidRPr="00EC5748">
              <w:rPr>
                <w:rFonts w:eastAsia="Times New Roman"/>
                <w:b/>
                <w:bCs/>
                <w:lang w:eastAsia="fr-CA"/>
              </w:rPr>
              <w:t>% des souches résistantes (groupe fongicide)</w:t>
            </w:r>
          </w:p>
        </w:tc>
        <w:tc>
          <w:tcPr>
            <w:tcW w:w="1405"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53B032F9" w14:textId="77777777" w:rsidR="000E15B7" w:rsidRPr="00EC5748" w:rsidRDefault="000E15B7" w:rsidP="00427297">
            <w:pPr>
              <w:jc w:val="center"/>
              <w:rPr>
                <w:rFonts w:eastAsia="Times New Roman"/>
                <w:b/>
                <w:bCs/>
                <w:lang w:eastAsia="fr-CA"/>
              </w:rPr>
            </w:pPr>
            <w:r w:rsidRPr="00EC5748">
              <w:rPr>
                <w:rFonts w:eastAsia="Times New Roman"/>
                <w:b/>
                <w:bCs/>
                <w:lang w:eastAsia="fr-CA"/>
              </w:rPr>
              <w:t>% des souches résistantes à au moins un groupe de fongicide (région)*</w:t>
            </w:r>
          </w:p>
        </w:tc>
      </w:tr>
      <w:tr w:rsidR="000E15B7" w:rsidRPr="00EC5748" w14:paraId="4A2BCF9D" w14:textId="77777777" w:rsidTr="004E323E">
        <w:trPr>
          <w:trHeight w:val="288"/>
        </w:trPr>
        <w:tc>
          <w:tcPr>
            <w:tcW w:w="1985" w:type="dxa"/>
            <w:vMerge w:val="restart"/>
            <w:tcBorders>
              <w:top w:val="nil"/>
              <w:left w:val="single" w:sz="4" w:space="0" w:color="auto"/>
              <w:bottom w:val="single" w:sz="4" w:space="0" w:color="000000"/>
              <w:right w:val="nil"/>
            </w:tcBorders>
            <w:vAlign w:val="center"/>
            <w:hideMark/>
          </w:tcPr>
          <w:p w14:paraId="06DA38C5" w14:textId="77777777" w:rsidR="000E15B7" w:rsidRPr="00EC5748" w:rsidRDefault="000E15B7" w:rsidP="00EC5748">
            <w:pPr>
              <w:jc w:val="center"/>
              <w:rPr>
                <w:rFonts w:eastAsia="Times New Roman"/>
                <w:i/>
                <w:iCs/>
                <w:color w:val="000000"/>
                <w:lang w:eastAsia="fr-CA"/>
              </w:rPr>
            </w:pPr>
            <w:r w:rsidRPr="00EC5748">
              <w:rPr>
                <w:rFonts w:eastAsia="Times New Roman"/>
                <w:i/>
                <w:iCs/>
                <w:color w:val="000000"/>
                <w:lang w:eastAsia="fr-CA"/>
              </w:rPr>
              <w:t>Botrytis cinerea</w:t>
            </w:r>
          </w:p>
        </w:tc>
        <w:tc>
          <w:tcPr>
            <w:tcW w:w="1632" w:type="dxa"/>
            <w:vMerge w:val="restart"/>
            <w:tcBorders>
              <w:top w:val="nil"/>
              <w:left w:val="nil"/>
              <w:bottom w:val="single" w:sz="4" w:space="0" w:color="000000"/>
              <w:right w:val="nil"/>
            </w:tcBorders>
            <w:vAlign w:val="center"/>
            <w:hideMark/>
          </w:tcPr>
          <w:p w14:paraId="7CC0801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Capitale-Nationale</w:t>
            </w:r>
          </w:p>
        </w:tc>
        <w:tc>
          <w:tcPr>
            <w:tcW w:w="1707" w:type="dxa"/>
            <w:tcBorders>
              <w:top w:val="nil"/>
              <w:left w:val="nil"/>
              <w:bottom w:val="single" w:sz="4" w:space="0" w:color="auto"/>
              <w:right w:val="nil"/>
            </w:tcBorders>
            <w:vAlign w:val="center"/>
            <w:hideMark/>
          </w:tcPr>
          <w:p w14:paraId="7FFF81E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128" w:type="dxa"/>
            <w:tcBorders>
              <w:top w:val="nil"/>
              <w:left w:val="nil"/>
              <w:bottom w:val="single" w:sz="4" w:space="0" w:color="auto"/>
              <w:right w:val="nil"/>
            </w:tcBorders>
            <w:vAlign w:val="center"/>
            <w:hideMark/>
          </w:tcPr>
          <w:p w14:paraId="0827123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21</w:t>
            </w:r>
          </w:p>
        </w:tc>
        <w:tc>
          <w:tcPr>
            <w:tcW w:w="1359" w:type="dxa"/>
            <w:gridSpan w:val="2"/>
            <w:tcBorders>
              <w:top w:val="nil"/>
              <w:left w:val="nil"/>
              <w:bottom w:val="single" w:sz="4" w:space="0" w:color="auto"/>
              <w:right w:val="nil"/>
            </w:tcBorders>
            <w:vAlign w:val="center"/>
            <w:hideMark/>
          </w:tcPr>
          <w:p w14:paraId="5DF2DB1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14</w:t>
            </w:r>
          </w:p>
        </w:tc>
        <w:tc>
          <w:tcPr>
            <w:tcW w:w="1841" w:type="dxa"/>
            <w:gridSpan w:val="2"/>
            <w:tcBorders>
              <w:top w:val="nil"/>
              <w:left w:val="nil"/>
              <w:bottom w:val="single" w:sz="4" w:space="0" w:color="auto"/>
              <w:right w:val="nil"/>
            </w:tcBorders>
            <w:vAlign w:val="center"/>
            <w:hideMark/>
          </w:tcPr>
          <w:p w14:paraId="48CAE42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66,7</w:t>
            </w:r>
          </w:p>
        </w:tc>
        <w:tc>
          <w:tcPr>
            <w:tcW w:w="1405" w:type="dxa"/>
            <w:vMerge w:val="restart"/>
            <w:tcBorders>
              <w:top w:val="nil"/>
              <w:left w:val="nil"/>
              <w:bottom w:val="nil"/>
              <w:right w:val="single" w:sz="4" w:space="0" w:color="auto"/>
            </w:tcBorders>
            <w:vAlign w:val="center"/>
            <w:hideMark/>
          </w:tcPr>
          <w:p w14:paraId="2A9FA93A"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100,0</w:t>
            </w:r>
          </w:p>
        </w:tc>
      </w:tr>
      <w:tr w:rsidR="000E15B7" w:rsidRPr="00EC5748" w14:paraId="2EF9C4FD"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0DC8A70F"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65BDA8F0"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3806EBC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128" w:type="dxa"/>
            <w:tcBorders>
              <w:top w:val="nil"/>
              <w:left w:val="nil"/>
              <w:bottom w:val="single" w:sz="4" w:space="0" w:color="auto"/>
              <w:right w:val="nil"/>
            </w:tcBorders>
            <w:vAlign w:val="center"/>
            <w:hideMark/>
          </w:tcPr>
          <w:p w14:paraId="7C8F52E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21</w:t>
            </w:r>
          </w:p>
        </w:tc>
        <w:tc>
          <w:tcPr>
            <w:tcW w:w="1359" w:type="dxa"/>
            <w:gridSpan w:val="2"/>
            <w:tcBorders>
              <w:top w:val="nil"/>
              <w:left w:val="nil"/>
              <w:bottom w:val="single" w:sz="4" w:space="0" w:color="auto"/>
              <w:right w:val="nil"/>
            </w:tcBorders>
            <w:vAlign w:val="center"/>
            <w:hideMark/>
          </w:tcPr>
          <w:p w14:paraId="216B870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12</w:t>
            </w:r>
          </w:p>
        </w:tc>
        <w:tc>
          <w:tcPr>
            <w:tcW w:w="1841" w:type="dxa"/>
            <w:gridSpan w:val="2"/>
            <w:tcBorders>
              <w:top w:val="nil"/>
              <w:left w:val="nil"/>
              <w:bottom w:val="single" w:sz="4" w:space="0" w:color="auto"/>
              <w:right w:val="nil"/>
            </w:tcBorders>
            <w:vAlign w:val="center"/>
            <w:hideMark/>
          </w:tcPr>
          <w:p w14:paraId="3528438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57,1</w:t>
            </w:r>
          </w:p>
        </w:tc>
        <w:tc>
          <w:tcPr>
            <w:tcW w:w="1405" w:type="dxa"/>
            <w:vMerge/>
            <w:tcBorders>
              <w:top w:val="nil"/>
              <w:left w:val="nil"/>
              <w:bottom w:val="nil"/>
              <w:right w:val="single" w:sz="4" w:space="0" w:color="auto"/>
            </w:tcBorders>
            <w:vAlign w:val="center"/>
            <w:hideMark/>
          </w:tcPr>
          <w:p w14:paraId="64B28088" w14:textId="77777777" w:rsidR="000E15B7" w:rsidRPr="00EC5748" w:rsidRDefault="000E15B7" w:rsidP="00427297">
            <w:pPr>
              <w:jc w:val="center"/>
              <w:rPr>
                <w:rFonts w:eastAsia="Times New Roman"/>
                <w:color w:val="000000"/>
                <w:lang w:eastAsia="fr-CA"/>
              </w:rPr>
            </w:pPr>
          </w:p>
        </w:tc>
      </w:tr>
      <w:tr w:rsidR="000E15B7" w:rsidRPr="00EC5748" w14:paraId="482A60C3"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3F06E0BF"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05E8DA21"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5104D63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128" w:type="dxa"/>
            <w:tcBorders>
              <w:top w:val="nil"/>
              <w:left w:val="nil"/>
              <w:bottom w:val="single" w:sz="4" w:space="0" w:color="auto"/>
              <w:right w:val="nil"/>
            </w:tcBorders>
            <w:vAlign w:val="center"/>
            <w:hideMark/>
          </w:tcPr>
          <w:p w14:paraId="4199E41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21</w:t>
            </w:r>
          </w:p>
        </w:tc>
        <w:tc>
          <w:tcPr>
            <w:tcW w:w="1359" w:type="dxa"/>
            <w:gridSpan w:val="2"/>
            <w:tcBorders>
              <w:top w:val="nil"/>
              <w:left w:val="nil"/>
              <w:bottom w:val="single" w:sz="4" w:space="0" w:color="auto"/>
              <w:right w:val="nil"/>
            </w:tcBorders>
            <w:vAlign w:val="center"/>
            <w:hideMark/>
          </w:tcPr>
          <w:p w14:paraId="47D08C2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21</w:t>
            </w:r>
          </w:p>
        </w:tc>
        <w:tc>
          <w:tcPr>
            <w:tcW w:w="1841" w:type="dxa"/>
            <w:gridSpan w:val="2"/>
            <w:tcBorders>
              <w:top w:val="nil"/>
              <w:left w:val="nil"/>
              <w:bottom w:val="single" w:sz="4" w:space="0" w:color="auto"/>
              <w:right w:val="nil"/>
            </w:tcBorders>
            <w:vAlign w:val="center"/>
            <w:hideMark/>
          </w:tcPr>
          <w:p w14:paraId="269E157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405" w:type="dxa"/>
            <w:vMerge/>
            <w:tcBorders>
              <w:top w:val="nil"/>
              <w:left w:val="nil"/>
              <w:bottom w:val="nil"/>
              <w:right w:val="single" w:sz="4" w:space="0" w:color="auto"/>
            </w:tcBorders>
            <w:vAlign w:val="center"/>
            <w:hideMark/>
          </w:tcPr>
          <w:p w14:paraId="19AACA94" w14:textId="77777777" w:rsidR="000E15B7" w:rsidRPr="00EC5748" w:rsidRDefault="000E15B7" w:rsidP="00427297">
            <w:pPr>
              <w:jc w:val="center"/>
              <w:rPr>
                <w:rFonts w:eastAsia="Times New Roman"/>
                <w:color w:val="000000"/>
                <w:lang w:eastAsia="fr-CA"/>
              </w:rPr>
            </w:pPr>
          </w:p>
        </w:tc>
      </w:tr>
      <w:tr w:rsidR="000E15B7" w:rsidRPr="00EC5748" w14:paraId="5AE30AC2"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1CCF003E"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4C491779"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2B166BB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128" w:type="dxa"/>
            <w:tcBorders>
              <w:top w:val="nil"/>
              <w:left w:val="nil"/>
              <w:bottom w:val="single" w:sz="4" w:space="0" w:color="auto"/>
              <w:right w:val="nil"/>
            </w:tcBorders>
            <w:vAlign w:val="center"/>
            <w:hideMark/>
          </w:tcPr>
          <w:p w14:paraId="162E9DB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20</w:t>
            </w:r>
          </w:p>
        </w:tc>
        <w:tc>
          <w:tcPr>
            <w:tcW w:w="1359" w:type="dxa"/>
            <w:gridSpan w:val="2"/>
            <w:tcBorders>
              <w:top w:val="nil"/>
              <w:left w:val="nil"/>
              <w:bottom w:val="single" w:sz="4" w:space="0" w:color="auto"/>
              <w:right w:val="nil"/>
            </w:tcBorders>
            <w:vAlign w:val="center"/>
            <w:hideMark/>
          </w:tcPr>
          <w:p w14:paraId="1564B68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841" w:type="dxa"/>
            <w:gridSpan w:val="2"/>
            <w:tcBorders>
              <w:top w:val="nil"/>
              <w:left w:val="nil"/>
              <w:bottom w:val="single" w:sz="4" w:space="0" w:color="auto"/>
              <w:right w:val="nil"/>
            </w:tcBorders>
            <w:vAlign w:val="center"/>
            <w:hideMark/>
          </w:tcPr>
          <w:p w14:paraId="53BBB62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55</w:t>
            </w:r>
          </w:p>
        </w:tc>
        <w:tc>
          <w:tcPr>
            <w:tcW w:w="1405" w:type="dxa"/>
            <w:vMerge/>
            <w:tcBorders>
              <w:top w:val="nil"/>
              <w:left w:val="nil"/>
              <w:bottom w:val="single" w:sz="4" w:space="0" w:color="auto"/>
              <w:right w:val="single" w:sz="4" w:space="0" w:color="auto"/>
            </w:tcBorders>
            <w:vAlign w:val="center"/>
            <w:hideMark/>
          </w:tcPr>
          <w:p w14:paraId="6347F731" w14:textId="77777777" w:rsidR="000E15B7" w:rsidRPr="00EC5748" w:rsidRDefault="000E15B7" w:rsidP="00427297">
            <w:pPr>
              <w:jc w:val="center"/>
              <w:rPr>
                <w:rFonts w:eastAsia="Times New Roman"/>
                <w:color w:val="000000"/>
                <w:lang w:eastAsia="fr-CA"/>
              </w:rPr>
            </w:pPr>
          </w:p>
        </w:tc>
      </w:tr>
      <w:tr w:rsidR="000E15B7" w:rsidRPr="00EC5748" w14:paraId="7150D24A"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5320AD43"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27A3B5B0"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noWrap/>
            <w:vAlign w:val="bottom"/>
            <w:hideMark/>
          </w:tcPr>
          <w:p w14:paraId="4E7DEC5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128" w:type="dxa"/>
            <w:tcBorders>
              <w:top w:val="nil"/>
              <w:left w:val="nil"/>
              <w:bottom w:val="single" w:sz="4" w:space="0" w:color="auto"/>
              <w:right w:val="nil"/>
            </w:tcBorders>
            <w:vAlign w:val="center"/>
            <w:hideMark/>
          </w:tcPr>
          <w:p w14:paraId="4FDFAEE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20</w:t>
            </w:r>
          </w:p>
        </w:tc>
        <w:tc>
          <w:tcPr>
            <w:tcW w:w="1359" w:type="dxa"/>
            <w:gridSpan w:val="2"/>
            <w:tcBorders>
              <w:top w:val="nil"/>
              <w:left w:val="nil"/>
              <w:bottom w:val="single" w:sz="4" w:space="0" w:color="auto"/>
              <w:right w:val="nil"/>
            </w:tcBorders>
            <w:vAlign w:val="center"/>
            <w:hideMark/>
          </w:tcPr>
          <w:p w14:paraId="5346893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841" w:type="dxa"/>
            <w:gridSpan w:val="2"/>
            <w:tcBorders>
              <w:top w:val="nil"/>
              <w:left w:val="nil"/>
              <w:bottom w:val="single" w:sz="4" w:space="0" w:color="auto"/>
              <w:right w:val="nil"/>
            </w:tcBorders>
            <w:vAlign w:val="center"/>
            <w:hideMark/>
          </w:tcPr>
          <w:p w14:paraId="540B225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55</w:t>
            </w:r>
          </w:p>
        </w:tc>
        <w:tc>
          <w:tcPr>
            <w:tcW w:w="1405" w:type="dxa"/>
            <w:tcBorders>
              <w:top w:val="single" w:sz="4" w:space="0" w:color="auto"/>
              <w:left w:val="nil"/>
              <w:bottom w:val="single" w:sz="4" w:space="0" w:color="auto"/>
              <w:right w:val="single" w:sz="4" w:space="0" w:color="auto"/>
            </w:tcBorders>
            <w:vAlign w:val="center"/>
            <w:hideMark/>
          </w:tcPr>
          <w:p w14:paraId="4A31BDF2" w14:textId="63F90674"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4FE18BD5"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44A057DE" w14:textId="77777777" w:rsidR="000E15B7" w:rsidRPr="00EC5748" w:rsidRDefault="000E15B7" w:rsidP="00EC5748">
            <w:pPr>
              <w:rPr>
                <w:rFonts w:eastAsia="Times New Roman"/>
                <w:i/>
                <w:iCs/>
                <w:color w:val="000000"/>
                <w:lang w:eastAsia="fr-CA"/>
              </w:rPr>
            </w:pPr>
          </w:p>
        </w:tc>
        <w:tc>
          <w:tcPr>
            <w:tcW w:w="1632" w:type="dxa"/>
            <w:vMerge w:val="restart"/>
            <w:tcBorders>
              <w:top w:val="nil"/>
              <w:left w:val="nil"/>
              <w:bottom w:val="single" w:sz="4" w:space="0" w:color="000000"/>
              <w:right w:val="nil"/>
            </w:tcBorders>
            <w:vAlign w:val="center"/>
            <w:hideMark/>
          </w:tcPr>
          <w:p w14:paraId="5657CA9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Estrie</w:t>
            </w:r>
          </w:p>
        </w:tc>
        <w:tc>
          <w:tcPr>
            <w:tcW w:w="1707" w:type="dxa"/>
            <w:tcBorders>
              <w:top w:val="nil"/>
              <w:left w:val="nil"/>
              <w:bottom w:val="single" w:sz="4" w:space="0" w:color="auto"/>
              <w:right w:val="nil"/>
            </w:tcBorders>
            <w:vAlign w:val="center"/>
            <w:hideMark/>
          </w:tcPr>
          <w:p w14:paraId="0103249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128" w:type="dxa"/>
            <w:tcBorders>
              <w:top w:val="nil"/>
              <w:left w:val="nil"/>
              <w:bottom w:val="single" w:sz="4" w:space="0" w:color="auto"/>
              <w:right w:val="nil"/>
            </w:tcBorders>
            <w:vAlign w:val="center"/>
            <w:hideMark/>
          </w:tcPr>
          <w:p w14:paraId="709FC81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359" w:type="dxa"/>
            <w:gridSpan w:val="2"/>
            <w:tcBorders>
              <w:top w:val="nil"/>
              <w:left w:val="nil"/>
              <w:bottom w:val="single" w:sz="4" w:space="0" w:color="auto"/>
              <w:right w:val="nil"/>
            </w:tcBorders>
            <w:vAlign w:val="center"/>
            <w:hideMark/>
          </w:tcPr>
          <w:p w14:paraId="3CCBF14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841" w:type="dxa"/>
            <w:gridSpan w:val="2"/>
            <w:tcBorders>
              <w:top w:val="nil"/>
              <w:left w:val="nil"/>
              <w:bottom w:val="single" w:sz="4" w:space="0" w:color="auto"/>
              <w:right w:val="nil"/>
            </w:tcBorders>
            <w:vAlign w:val="center"/>
            <w:hideMark/>
          </w:tcPr>
          <w:p w14:paraId="76F3E46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50</w:t>
            </w:r>
          </w:p>
        </w:tc>
        <w:tc>
          <w:tcPr>
            <w:tcW w:w="1405" w:type="dxa"/>
            <w:vMerge w:val="restart"/>
            <w:tcBorders>
              <w:top w:val="single" w:sz="4" w:space="0" w:color="auto"/>
              <w:left w:val="nil"/>
              <w:bottom w:val="nil"/>
              <w:right w:val="single" w:sz="4" w:space="0" w:color="auto"/>
            </w:tcBorders>
            <w:vAlign w:val="center"/>
            <w:hideMark/>
          </w:tcPr>
          <w:p w14:paraId="058EBC7C"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100,0</w:t>
            </w:r>
          </w:p>
        </w:tc>
      </w:tr>
      <w:tr w:rsidR="000E15B7" w:rsidRPr="00EC5748" w14:paraId="2F44F015"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1ABE395B"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0EAB1CC5"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557B7AB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128" w:type="dxa"/>
            <w:tcBorders>
              <w:top w:val="nil"/>
              <w:left w:val="nil"/>
              <w:bottom w:val="single" w:sz="4" w:space="0" w:color="auto"/>
              <w:right w:val="nil"/>
            </w:tcBorders>
            <w:vAlign w:val="center"/>
            <w:hideMark/>
          </w:tcPr>
          <w:p w14:paraId="7D1EE34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359" w:type="dxa"/>
            <w:gridSpan w:val="2"/>
            <w:tcBorders>
              <w:top w:val="nil"/>
              <w:left w:val="nil"/>
              <w:bottom w:val="single" w:sz="4" w:space="0" w:color="auto"/>
              <w:right w:val="nil"/>
            </w:tcBorders>
            <w:vAlign w:val="center"/>
            <w:hideMark/>
          </w:tcPr>
          <w:p w14:paraId="25028BE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w:t>
            </w:r>
          </w:p>
        </w:tc>
        <w:tc>
          <w:tcPr>
            <w:tcW w:w="1841" w:type="dxa"/>
            <w:gridSpan w:val="2"/>
            <w:tcBorders>
              <w:top w:val="nil"/>
              <w:left w:val="nil"/>
              <w:bottom w:val="single" w:sz="4" w:space="0" w:color="auto"/>
              <w:right w:val="nil"/>
            </w:tcBorders>
            <w:vAlign w:val="center"/>
            <w:hideMark/>
          </w:tcPr>
          <w:p w14:paraId="6DBE579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66,7</w:t>
            </w:r>
          </w:p>
        </w:tc>
        <w:tc>
          <w:tcPr>
            <w:tcW w:w="1405" w:type="dxa"/>
            <w:vMerge/>
            <w:tcBorders>
              <w:top w:val="nil"/>
              <w:left w:val="nil"/>
              <w:bottom w:val="nil"/>
              <w:right w:val="single" w:sz="4" w:space="0" w:color="auto"/>
            </w:tcBorders>
            <w:vAlign w:val="center"/>
            <w:hideMark/>
          </w:tcPr>
          <w:p w14:paraId="3A321B0F" w14:textId="77777777" w:rsidR="000E15B7" w:rsidRPr="00EC5748" w:rsidRDefault="000E15B7" w:rsidP="00427297">
            <w:pPr>
              <w:jc w:val="center"/>
              <w:rPr>
                <w:rFonts w:eastAsia="Times New Roman"/>
                <w:color w:val="000000"/>
                <w:lang w:eastAsia="fr-CA"/>
              </w:rPr>
            </w:pPr>
          </w:p>
        </w:tc>
      </w:tr>
      <w:tr w:rsidR="000E15B7" w:rsidRPr="00EC5748" w14:paraId="5CB8EC38"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02BB231C"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603E959A"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5BFE2A2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128" w:type="dxa"/>
            <w:tcBorders>
              <w:top w:val="nil"/>
              <w:left w:val="nil"/>
              <w:bottom w:val="single" w:sz="4" w:space="0" w:color="auto"/>
              <w:right w:val="nil"/>
            </w:tcBorders>
            <w:vAlign w:val="center"/>
            <w:hideMark/>
          </w:tcPr>
          <w:p w14:paraId="40A34E7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359" w:type="dxa"/>
            <w:gridSpan w:val="2"/>
            <w:tcBorders>
              <w:top w:val="nil"/>
              <w:left w:val="nil"/>
              <w:bottom w:val="single" w:sz="4" w:space="0" w:color="auto"/>
              <w:right w:val="nil"/>
            </w:tcBorders>
            <w:vAlign w:val="center"/>
            <w:hideMark/>
          </w:tcPr>
          <w:p w14:paraId="5407001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841" w:type="dxa"/>
            <w:gridSpan w:val="2"/>
            <w:tcBorders>
              <w:top w:val="nil"/>
              <w:left w:val="nil"/>
              <w:bottom w:val="single" w:sz="4" w:space="0" w:color="auto"/>
              <w:right w:val="nil"/>
            </w:tcBorders>
            <w:vAlign w:val="center"/>
            <w:hideMark/>
          </w:tcPr>
          <w:p w14:paraId="2B9AE3F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405" w:type="dxa"/>
            <w:vMerge/>
            <w:tcBorders>
              <w:top w:val="nil"/>
              <w:left w:val="nil"/>
              <w:bottom w:val="nil"/>
              <w:right w:val="single" w:sz="4" w:space="0" w:color="auto"/>
            </w:tcBorders>
            <w:vAlign w:val="center"/>
            <w:hideMark/>
          </w:tcPr>
          <w:p w14:paraId="70287FBA" w14:textId="77777777" w:rsidR="000E15B7" w:rsidRPr="00EC5748" w:rsidRDefault="000E15B7" w:rsidP="00427297">
            <w:pPr>
              <w:jc w:val="center"/>
              <w:rPr>
                <w:rFonts w:eastAsia="Times New Roman"/>
                <w:color w:val="000000"/>
                <w:lang w:eastAsia="fr-CA"/>
              </w:rPr>
            </w:pPr>
          </w:p>
        </w:tc>
      </w:tr>
      <w:tr w:rsidR="000E15B7" w:rsidRPr="00EC5748" w14:paraId="3313AAAC"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3D4AFEAE"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011926FE"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3CF9803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128" w:type="dxa"/>
            <w:tcBorders>
              <w:top w:val="nil"/>
              <w:left w:val="nil"/>
              <w:bottom w:val="single" w:sz="4" w:space="0" w:color="auto"/>
              <w:right w:val="nil"/>
            </w:tcBorders>
            <w:vAlign w:val="center"/>
            <w:hideMark/>
          </w:tcPr>
          <w:p w14:paraId="4AB8A2A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359" w:type="dxa"/>
            <w:gridSpan w:val="2"/>
            <w:tcBorders>
              <w:top w:val="nil"/>
              <w:left w:val="nil"/>
              <w:bottom w:val="single" w:sz="4" w:space="0" w:color="auto"/>
              <w:right w:val="nil"/>
            </w:tcBorders>
            <w:vAlign w:val="center"/>
            <w:hideMark/>
          </w:tcPr>
          <w:p w14:paraId="2845FDA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841" w:type="dxa"/>
            <w:gridSpan w:val="2"/>
            <w:tcBorders>
              <w:top w:val="nil"/>
              <w:left w:val="nil"/>
              <w:bottom w:val="single" w:sz="4" w:space="0" w:color="auto"/>
              <w:right w:val="nil"/>
            </w:tcBorders>
            <w:vAlign w:val="center"/>
            <w:hideMark/>
          </w:tcPr>
          <w:p w14:paraId="2021911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16,7</w:t>
            </w:r>
          </w:p>
        </w:tc>
        <w:tc>
          <w:tcPr>
            <w:tcW w:w="1405" w:type="dxa"/>
            <w:vMerge/>
            <w:tcBorders>
              <w:top w:val="nil"/>
              <w:left w:val="nil"/>
              <w:bottom w:val="single" w:sz="4" w:space="0" w:color="auto"/>
              <w:right w:val="single" w:sz="4" w:space="0" w:color="auto"/>
            </w:tcBorders>
            <w:vAlign w:val="center"/>
            <w:hideMark/>
          </w:tcPr>
          <w:p w14:paraId="42C8F960" w14:textId="77777777" w:rsidR="000E15B7" w:rsidRPr="00EC5748" w:rsidRDefault="000E15B7" w:rsidP="00427297">
            <w:pPr>
              <w:jc w:val="center"/>
              <w:rPr>
                <w:rFonts w:eastAsia="Times New Roman"/>
                <w:color w:val="000000"/>
                <w:lang w:eastAsia="fr-CA"/>
              </w:rPr>
            </w:pPr>
          </w:p>
        </w:tc>
      </w:tr>
      <w:tr w:rsidR="000E15B7" w:rsidRPr="00EC5748" w14:paraId="2AE28F85"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14875750"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272D4ED6"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noWrap/>
            <w:vAlign w:val="bottom"/>
            <w:hideMark/>
          </w:tcPr>
          <w:p w14:paraId="1036391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128" w:type="dxa"/>
            <w:tcBorders>
              <w:top w:val="nil"/>
              <w:left w:val="nil"/>
              <w:bottom w:val="single" w:sz="4" w:space="0" w:color="auto"/>
              <w:right w:val="nil"/>
            </w:tcBorders>
            <w:vAlign w:val="center"/>
            <w:hideMark/>
          </w:tcPr>
          <w:p w14:paraId="0B39F16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359" w:type="dxa"/>
            <w:gridSpan w:val="2"/>
            <w:tcBorders>
              <w:top w:val="nil"/>
              <w:left w:val="nil"/>
              <w:bottom w:val="single" w:sz="4" w:space="0" w:color="auto"/>
              <w:right w:val="nil"/>
            </w:tcBorders>
            <w:vAlign w:val="center"/>
            <w:hideMark/>
          </w:tcPr>
          <w:p w14:paraId="48EF4E3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841" w:type="dxa"/>
            <w:gridSpan w:val="2"/>
            <w:tcBorders>
              <w:top w:val="nil"/>
              <w:left w:val="nil"/>
              <w:bottom w:val="single" w:sz="4" w:space="0" w:color="auto"/>
              <w:right w:val="nil"/>
            </w:tcBorders>
            <w:vAlign w:val="center"/>
            <w:hideMark/>
          </w:tcPr>
          <w:p w14:paraId="1F98849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16,7</w:t>
            </w:r>
          </w:p>
        </w:tc>
        <w:tc>
          <w:tcPr>
            <w:tcW w:w="1405" w:type="dxa"/>
            <w:tcBorders>
              <w:top w:val="single" w:sz="4" w:space="0" w:color="auto"/>
              <w:left w:val="nil"/>
              <w:bottom w:val="single" w:sz="4" w:space="0" w:color="auto"/>
              <w:right w:val="single" w:sz="4" w:space="0" w:color="auto"/>
            </w:tcBorders>
            <w:vAlign w:val="center"/>
            <w:hideMark/>
          </w:tcPr>
          <w:p w14:paraId="3923BBA6" w14:textId="3D61CC90"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729E5CC6"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50A8AE58" w14:textId="77777777" w:rsidR="000E15B7" w:rsidRPr="00EC5748" w:rsidRDefault="000E15B7" w:rsidP="00EC5748">
            <w:pPr>
              <w:rPr>
                <w:rFonts w:eastAsia="Times New Roman"/>
                <w:i/>
                <w:iCs/>
                <w:color w:val="000000"/>
                <w:lang w:eastAsia="fr-CA"/>
              </w:rPr>
            </w:pPr>
          </w:p>
        </w:tc>
        <w:tc>
          <w:tcPr>
            <w:tcW w:w="1632" w:type="dxa"/>
            <w:vMerge w:val="restart"/>
            <w:tcBorders>
              <w:top w:val="nil"/>
              <w:left w:val="nil"/>
              <w:bottom w:val="single" w:sz="4" w:space="0" w:color="000000"/>
              <w:right w:val="nil"/>
            </w:tcBorders>
            <w:vAlign w:val="center"/>
            <w:hideMark/>
          </w:tcPr>
          <w:p w14:paraId="7235355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Chaudière-Appalaches</w:t>
            </w:r>
          </w:p>
        </w:tc>
        <w:tc>
          <w:tcPr>
            <w:tcW w:w="1707" w:type="dxa"/>
            <w:tcBorders>
              <w:top w:val="nil"/>
              <w:left w:val="nil"/>
              <w:bottom w:val="single" w:sz="4" w:space="0" w:color="auto"/>
              <w:right w:val="nil"/>
            </w:tcBorders>
            <w:vAlign w:val="center"/>
            <w:hideMark/>
          </w:tcPr>
          <w:p w14:paraId="7E4B4BF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128" w:type="dxa"/>
            <w:tcBorders>
              <w:top w:val="nil"/>
              <w:left w:val="nil"/>
              <w:bottom w:val="single" w:sz="4" w:space="0" w:color="auto"/>
              <w:right w:val="nil"/>
            </w:tcBorders>
            <w:vAlign w:val="center"/>
            <w:hideMark/>
          </w:tcPr>
          <w:p w14:paraId="29AE90D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16</w:t>
            </w:r>
          </w:p>
        </w:tc>
        <w:tc>
          <w:tcPr>
            <w:tcW w:w="1359" w:type="dxa"/>
            <w:gridSpan w:val="2"/>
            <w:tcBorders>
              <w:top w:val="nil"/>
              <w:left w:val="nil"/>
              <w:bottom w:val="single" w:sz="4" w:space="0" w:color="auto"/>
              <w:right w:val="nil"/>
            </w:tcBorders>
            <w:vAlign w:val="center"/>
            <w:hideMark/>
          </w:tcPr>
          <w:p w14:paraId="28F8161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9</w:t>
            </w:r>
          </w:p>
        </w:tc>
        <w:tc>
          <w:tcPr>
            <w:tcW w:w="1841" w:type="dxa"/>
            <w:gridSpan w:val="2"/>
            <w:tcBorders>
              <w:top w:val="nil"/>
              <w:left w:val="nil"/>
              <w:bottom w:val="single" w:sz="4" w:space="0" w:color="auto"/>
              <w:right w:val="nil"/>
            </w:tcBorders>
            <w:vAlign w:val="center"/>
            <w:hideMark/>
          </w:tcPr>
          <w:p w14:paraId="50739BB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56,3</w:t>
            </w:r>
          </w:p>
        </w:tc>
        <w:tc>
          <w:tcPr>
            <w:tcW w:w="1405" w:type="dxa"/>
            <w:vMerge w:val="restart"/>
            <w:tcBorders>
              <w:top w:val="single" w:sz="4" w:space="0" w:color="auto"/>
              <w:left w:val="nil"/>
              <w:bottom w:val="nil"/>
              <w:right w:val="single" w:sz="4" w:space="0" w:color="auto"/>
            </w:tcBorders>
            <w:vAlign w:val="center"/>
            <w:hideMark/>
          </w:tcPr>
          <w:p w14:paraId="7E287F08"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75,0</w:t>
            </w:r>
          </w:p>
        </w:tc>
      </w:tr>
      <w:tr w:rsidR="000E15B7" w:rsidRPr="00EC5748" w14:paraId="63633031"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405A1656"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5B17A533"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35298C1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128" w:type="dxa"/>
            <w:tcBorders>
              <w:top w:val="nil"/>
              <w:left w:val="nil"/>
              <w:bottom w:val="single" w:sz="4" w:space="0" w:color="auto"/>
              <w:right w:val="nil"/>
            </w:tcBorders>
            <w:vAlign w:val="center"/>
            <w:hideMark/>
          </w:tcPr>
          <w:p w14:paraId="15EF294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16</w:t>
            </w:r>
          </w:p>
        </w:tc>
        <w:tc>
          <w:tcPr>
            <w:tcW w:w="1359" w:type="dxa"/>
            <w:gridSpan w:val="2"/>
            <w:tcBorders>
              <w:top w:val="nil"/>
              <w:left w:val="nil"/>
              <w:bottom w:val="single" w:sz="4" w:space="0" w:color="auto"/>
              <w:right w:val="nil"/>
            </w:tcBorders>
            <w:vAlign w:val="center"/>
            <w:hideMark/>
          </w:tcPr>
          <w:p w14:paraId="130FCFC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841" w:type="dxa"/>
            <w:gridSpan w:val="2"/>
            <w:tcBorders>
              <w:top w:val="nil"/>
              <w:left w:val="nil"/>
              <w:bottom w:val="single" w:sz="4" w:space="0" w:color="auto"/>
              <w:right w:val="nil"/>
            </w:tcBorders>
            <w:vAlign w:val="center"/>
            <w:hideMark/>
          </w:tcPr>
          <w:p w14:paraId="60A3D61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37,5</w:t>
            </w:r>
          </w:p>
        </w:tc>
        <w:tc>
          <w:tcPr>
            <w:tcW w:w="1405" w:type="dxa"/>
            <w:vMerge/>
            <w:tcBorders>
              <w:top w:val="nil"/>
              <w:left w:val="nil"/>
              <w:bottom w:val="nil"/>
              <w:right w:val="single" w:sz="4" w:space="0" w:color="auto"/>
            </w:tcBorders>
            <w:vAlign w:val="center"/>
            <w:hideMark/>
          </w:tcPr>
          <w:p w14:paraId="085942C5" w14:textId="77777777" w:rsidR="000E15B7" w:rsidRPr="00EC5748" w:rsidRDefault="000E15B7" w:rsidP="00427297">
            <w:pPr>
              <w:jc w:val="center"/>
              <w:rPr>
                <w:rFonts w:eastAsia="Times New Roman"/>
                <w:color w:val="000000"/>
                <w:lang w:eastAsia="fr-CA"/>
              </w:rPr>
            </w:pPr>
          </w:p>
        </w:tc>
      </w:tr>
      <w:tr w:rsidR="000E15B7" w:rsidRPr="00EC5748" w14:paraId="60EE4CEE"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6F3CC394"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092807AB"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5FBAEB2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128" w:type="dxa"/>
            <w:tcBorders>
              <w:top w:val="nil"/>
              <w:left w:val="nil"/>
              <w:bottom w:val="single" w:sz="4" w:space="0" w:color="auto"/>
              <w:right w:val="nil"/>
            </w:tcBorders>
            <w:vAlign w:val="center"/>
            <w:hideMark/>
          </w:tcPr>
          <w:p w14:paraId="20DD4F8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14</w:t>
            </w:r>
          </w:p>
        </w:tc>
        <w:tc>
          <w:tcPr>
            <w:tcW w:w="1359" w:type="dxa"/>
            <w:gridSpan w:val="2"/>
            <w:tcBorders>
              <w:top w:val="nil"/>
              <w:left w:val="nil"/>
              <w:bottom w:val="single" w:sz="4" w:space="0" w:color="auto"/>
              <w:right w:val="nil"/>
            </w:tcBorders>
            <w:vAlign w:val="center"/>
            <w:hideMark/>
          </w:tcPr>
          <w:p w14:paraId="6540C5A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w:t>
            </w:r>
          </w:p>
        </w:tc>
        <w:tc>
          <w:tcPr>
            <w:tcW w:w="1841" w:type="dxa"/>
            <w:gridSpan w:val="2"/>
            <w:tcBorders>
              <w:top w:val="nil"/>
              <w:left w:val="nil"/>
              <w:bottom w:val="single" w:sz="4" w:space="0" w:color="auto"/>
              <w:right w:val="nil"/>
            </w:tcBorders>
            <w:vAlign w:val="center"/>
            <w:hideMark/>
          </w:tcPr>
          <w:p w14:paraId="00EABEA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71,4</w:t>
            </w:r>
          </w:p>
        </w:tc>
        <w:tc>
          <w:tcPr>
            <w:tcW w:w="1405" w:type="dxa"/>
            <w:vMerge/>
            <w:tcBorders>
              <w:top w:val="nil"/>
              <w:left w:val="nil"/>
              <w:bottom w:val="nil"/>
              <w:right w:val="single" w:sz="4" w:space="0" w:color="auto"/>
            </w:tcBorders>
            <w:vAlign w:val="center"/>
            <w:hideMark/>
          </w:tcPr>
          <w:p w14:paraId="48A0EE99" w14:textId="77777777" w:rsidR="000E15B7" w:rsidRPr="00EC5748" w:rsidRDefault="000E15B7" w:rsidP="00427297">
            <w:pPr>
              <w:jc w:val="center"/>
              <w:rPr>
                <w:rFonts w:eastAsia="Times New Roman"/>
                <w:color w:val="000000"/>
                <w:lang w:eastAsia="fr-CA"/>
              </w:rPr>
            </w:pPr>
          </w:p>
        </w:tc>
      </w:tr>
      <w:tr w:rsidR="000E15B7" w:rsidRPr="00EC5748" w14:paraId="424782AA"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310A3A9A"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7076EE40"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1D9EF1F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128" w:type="dxa"/>
            <w:tcBorders>
              <w:top w:val="nil"/>
              <w:left w:val="nil"/>
              <w:bottom w:val="single" w:sz="4" w:space="0" w:color="auto"/>
              <w:right w:val="nil"/>
            </w:tcBorders>
            <w:vAlign w:val="center"/>
            <w:hideMark/>
          </w:tcPr>
          <w:p w14:paraId="75B4FC4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14</w:t>
            </w:r>
          </w:p>
        </w:tc>
        <w:tc>
          <w:tcPr>
            <w:tcW w:w="1359" w:type="dxa"/>
            <w:gridSpan w:val="2"/>
            <w:tcBorders>
              <w:top w:val="nil"/>
              <w:left w:val="nil"/>
              <w:bottom w:val="single" w:sz="4" w:space="0" w:color="auto"/>
              <w:right w:val="nil"/>
            </w:tcBorders>
            <w:vAlign w:val="center"/>
            <w:hideMark/>
          </w:tcPr>
          <w:p w14:paraId="3B3EF31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841" w:type="dxa"/>
            <w:gridSpan w:val="2"/>
            <w:tcBorders>
              <w:top w:val="nil"/>
              <w:left w:val="nil"/>
              <w:bottom w:val="single" w:sz="4" w:space="0" w:color="auto"/>
              <w:right w:val="nil"/>
            </w:tcBorders>
            <w:vAlign w:val="center"/>
            <w:hideMark/>
          </w:tcPr>
          <w:p w14:paraId="7900249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42,9</w:t>
            </w:r>
          </w:p>
        </w:tc>
        <w:tc>
          <w:tcPr>
            <w:tcW w:w="1405" w:type="dxa"/>
            <w:vMerge/>
            <w:tcBorders>
              <w:top w:val="nil"/>
              <w:left w:val="nil"/>
              <w:bottom w:val="single" w:sz="4" w:space="0" w:color="auto"/>
              <w:right w:val="single" w:sz="4" w:space="0" w:color="auto"/>
            </w:tcBorders>
            <w:vAlign w:val="center"/>
            <w:hideMark/>
          </w:tcPr>
          <w:p w14:paraId="1588F5B9" w14:textId="77777777" w:rsidR="000E15B7" w:rsidRPr="00EC5748" w:rsidRDefault="000E15B7" w:rsidP="00427297">
            <w:pPr>
              <w:jc w:val="center"/>
              <w:rPr>
                <w:rFonts w:eastAsia="Times New Roman"/>
                <w:color w:val="000000"/>
                <w:lang w:eastAsia="fr-CA"/>
              </w:rPr>
            </w:pPr>
          </w:p>
        </w:tc>
      </w:tr>
      <w:tr w:rsidR="000E15B7" w:rsidRPr="00EC5748" w14:paraId="59F4BEE0"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4C6C8009"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7978AFA9"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noWrap/>
            <w:vAlign w:val="bottom"/>
            <w:hideMark/>
          </w:tcPr>
          <w:p w14:paraId="25F7D0C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128" w:type="dxa"/>
            <w:tcBorders>
              <w:top w:val="nil"/>
              <w:left w:val="nil"/>
              <w:bottom w:val="single" w:sz="4" w:space="0" w:color="auto"/>
              <w:right w:val="nil"/>
            </w:tcBorders>
            <w:vAlign w:val="center"/>
            <w:hideMark/>
          </w:tcPr>
          <w:p w14:paraId="2F11D2E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13</w:t>
            </w:r>
          </w:p>
        </w:tc>
        <w:tc>
          <w:tcPr>
            <w:tcW w:w="1359" w:type="dxa"/>
            <w:gridSpan w:val="2"/>
            <w:tcBorders>
              <w:top w:val="nil"/>
              <w:left w:val="nil"/>
              <w:bottom w:val="single" w:sz="4" w:space="0" w:color="auto"/>
              <w:right w:val="nil"/>
            </w:tcBorders>
            <w:vAlign w:val="center"/>
            <w:hideMark/>
          </w:tcPr>
          <w:p w14:paraId="59D431D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841" w:type="dxa"/>
            <w:gridSpan w:val="2"/>
            <w:tcBorders>
              <w:top w:val="nil"/>
              <w:left w:val="nil"/>
              <w:bottom w:val="single" w:sz="4" w:space="0" w:color="auto"/>
              <w:right w:val="nil"/>
            </w:tcBorders>
            <w:vAlign w:val="center"/>
            <w:hideMark/>
          </w:tcPr>
          <w:p w14:paraId="3C88199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46,2</w:t>
            </w:r>
          </w:p>
        </w:tc>
        <w:tc>
          <w:tcPr>
            <w:tcW w:w="1405" w:type="dxa"/>
            <w:tcBorders>
              <w:top w:val="single" w:sz="4" w:space="0" w:color="auto"/>
              <w:left w:val="nil"/>
              <w:bottom w:val="single" w:sz="4" w:space="0" w:color="auto"/>
              <w:right w:val="single" w:sz="4" w:space="0" w:color="auto"/>
            </w:tcBorders>
            <w:vAlign w:val="center"/>
            <w:hideMark/>
          </w:tcPr>
          <w:p w14:paraId="4C4A503B" w14:textId="525B4C4C"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2716B7DD"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1D4B703E" w14:textId="77777777" w:rsidR="000E15B7" w:rsidRPr="00EC5748" w:rsidRDefault="000E15B7" w:rsidP="00EC5748">
            <w:pPr>
              <w:rPr>
                <w:rFonts w:eastAsia="Times New Roman"/>
                <w:i/>
                <w:iCs/>
                <w:color w:val="000000"/>
                <w:lang w:eastAsia="fr-CA"/>
              </w:rPr>
            </w:pPr>
          </w:p>
        </w:tc>
        <w:tc>
          <w:tcPr>
            <w:tcW w:w="1632" w:type="dxa"/>
            <w:vMerge w:val="restart"/>
            <w:tcBorders>
              <w:top w:val="nil"/>
              <w:left w:val="nil"/>
              <w:bottom w:val="single" w:sz="4" w:space="0" w:color="000000"/>
              <w:right w:val="nil"/>
            </w:tcBorders>
            <w:vAlign w:val="center"/>
            <w:hideMark/>
          </w:tcPr>
          <w:p w14:paraId="721DBE5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Laurentides</w:t>
            </w:r>
          </w:p>
        </w:tc>
        <w:tc>
          <w:tcPr>
            <w:tcW w:w="1707" w:type="dxa"/>
            <w:tcBorders>
              <w:top w:val="nil"/>
              <w:left w:val="nil"/>
              <w:bottom w:val="single" w:sz="4" w:space="0" w:color="auto"/>
              <w:right w:val="nil"/>
            </w:tcBorders>
            <w:vAlign w:val="center"/>
            <w:hideMark/>
          </w:tcPr>
          <w:p w14:paraId="7A1BAB7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128" w:type="dxa"/>
            <w:tcBorders>
              <w:top w:val="nil"/>
              <w:left w:val="nil"/>
              <w:bottom w:val="single" w:sz="4" w:space="0" w:color="auto"/>
              <w:right w:val="nil"/>
            </w:tcBorders>
            <w:vAlign w:val="center"/>
            <w:hideMark/>
          </w:tcPr>
          <w:p w14:paraId="128E570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15</w:t>
            </w:r>
          </w:p>
        </w:tc>
        <w:tc>
          <w:tcPr>
            <w:tcW w:w="1359" w:type="dxa"/>
            <w:gridSpan w:val="2"/>
            <w:tcBorders>
              <w:top w:val="nil"/>
              <w:left w:val="nil"/>
              <w:bottom w:val="single" w:sz="4" w:space="0" w:color="auto"/>
              <w:right w:val="nil"/>
            </w:tcBorders>
            <w:vAlign w:val="center"/>
            <w:hideMark/>
          </w:tcPr>
          <w:p w14:paraId="79ADEDE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9</w:t>
            </w:r>
          </w:p>
        </w:tc>
        <w:tc>
          <w:tcPr>
            <w:tcW w:w="1841" w:type="dxa"/>
            <w:gridSpan w:val="2"/>
            <w:tcBorders>
              <w:top w:val="nil"/>
              <w:left w:val="nil"/>
              <w:bottom w:val="single" w:sz="4" w:space="0" w:color="auto"/>
              <w:right w:val="nil"/>
            </w:tcBorders>
            <w:vAlign w:val="center"/>
            <w:hideMark/>
          </w:tcPr>
          <w:p w14:paraId="208BA30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60</w:t>
            </w:r>
          </w:p>
        </w:tc>
        <w:tc>
          <w:tcPr>
            <w:tcW w:w="1405" w:type="dxa"/>
            <w:vMerge w:val="restart"/>
            <w:tcBorders>
              <w:top w:val="single" w:sz="4" w:space="0" w:color="auto"/>
              <w:left w:val="nil"/>
              <w:bottom w:val="nil"/>
              <w:right w:val="single" w:sz="4" w:space="0" w:color="auto"/>
            </w:tcBorders>
            <w:vAlign w:val="center"/>
            <w:hideMark/>
          </w:tcPr>
          <w:p w14:paraId="27F96EA7"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60,0</w:t>
            </w:r>
          </w:p>
        </w:tc>
      </w:tr>
      <w:tr w:rsidR="000E15B7" w:rsidRPr="00EC5748" w14:paraId="2D2C38F2"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2D985FCB"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499FC5AA"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116ED93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128" w:type="dxa"/>
            <w:tcBorders>
              <w:top w:val="nil"/>
              <w:left w:val="nil"/>
              <w:bottom w:val="single" w:sz="4" w:space="0" w:color="auto"/>
              <w:right w:val="nil"/>
            </w:tcBorders>
            <w:vAlign w:val="center"/>
            <w:hideMark/>
          </w:tcPr>
          <w:p w14:paraId="648FA6E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15</w:t>
            </w:r>
          </w:p>
        </w:tc>
        <w:tc>
          <w:tcPr>
            <w:tcW w:w="1359" w:type="dxa"/>
            <w:gridSpan w:val="2"/>
            <w:tcBorders>
              <w:top w:val="nil"/>
              <w:left w:val="nil"/>
              <w:bottom w:val="single" w:sz="4" w:space="0" w:color="auto"/>
              <w:right w:val="nil"/>
            </w:tcBorders>
            <w:vAlign w:val="center"/>
            <w:hideMark/>
          </w:tcPr>
          <w:p w14:paraId="76031E9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w:t>
            </w:r>
          </w:p>
        </w:tc>
        <w:tc>
          <w:tcPr>
            <w:tcW w:w="1841" w:type="dxa"/>
            <w:gridSpan w:val="2"/>
            <w:tcBorders>
              <w:top w:val="nil"/>
              <w:left w:val="nil"/>
              <w:bottom w:val="single" w:sz="4" w:space="0" w:color="auto"/>
              <w:right w:val="nil"/>
            </w:tcBorders>
            <w:vAlign w:val="center"/>
            <w:hideMark/>
          </w:tcPr>
          <w:p w14:paraId="70BA9BC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33,3</w:t>
            </w:r>
          </w:p>
        </w:tc>
        <w:tc>
          <w:tcPr>
            <w:tcW w:w="1405" w:type="dxa"/>
            <w:vMerge/>
            <w:tcBorders>
              <w:top w:val="nil"/>
              <w:left w:val="nil"/>
              <w:bottom w:val="nil"/>
              <w:right w:val="single" w:sz="4" w:space="0" w:color="auto"/>
            </w:tcBorders>
            <w:vAlign w:val="center"/>
            <w:hideMark/>
          </w:tcPr>
          <w:p w14:paraId="41F69E85" w14:textId="77777777" w:rsidR="000E15B7" w:rsidRPr="00EC5748" w:rsidRDefault="000E15B7" w:rsidP="00427297">
            <w:pPr>
              <w:jc w:val="center"/>
              <w:rPr>
                <w:rFonts w:eastAsia="Times New Roman"/>
                <w:color w:val="000000"/>
                <w:lang w:eastAsia="fr-CA"/>
              </w:rPr>
            </w:pPr>
          </w:p>
        </w:tc>
      </w:tr>
      <w:tr w:rsidR="000E15B7" w:rsidRPr="00EC5748" w14:paraId="745FCAE6"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14917395"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2B0BE28A"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01FE7F9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128" w:type="dxa"/>
            <w:tcBorders>
              <w:top w:val="nil"/>
              <w:left w:val="nil"/>
              <w:bottom w:val="single" w:sz="4" w:space="0" w:color="auto"/>
              <w:right w:val="nil"/>
            </w:tcBorders>
            <w:vAlign w:val="center"/>
            <w:hideMark/>
          </w:tcPr>
          <w:p w14:paraId="1B713A7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15</w:t>
            </w:r>
          </w:p>
        </w:tc>
        <w:tc>
          <w:tcPr>
            <w:tcW w:w="1359" w:type="dxa"/>
            <w:gridSpan w:val="2"/>
            <w:tcBorders>
              <w:top w:val="nil"/>
              <w:left w:val="nil"/>
              <w:bottom w:val="single" w:sz="4" w:space="0" w:color="auto"/>
              <w:right w:val="nil"/>
            </w:tcBorders>
            <w:vAlign w:val="center"/>
            <w:hideMark/>
          </w:tcPr>
          <w:p w14:paraId="61DDB29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9</w:t>
            </w:r>
          </w:p>
        </w:tc>
        <w:tc>
          <w:tcPr>
            <w:tcW w:w="1841" w:type="dxa"/>
            <w:gridSpan w:val="2"/>
            <w:tcBorders>
              <w:top w:val="nil"/>
              <w:left w:val="nil"/>
              <w:bottom w:val="single" w:sz="4" w:space="0" w:color="auto"/>
              <w:right w:val="nil"/>
            </w:tcBorders>
            <w:vAlign w:val="center"/>
            <w:hideMark/>
          </w:tcPr>
          <w:p w14:paraId="1118376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60</w:t>
            </w:r>
          </w:p>
        </w:tc>
        <w:tc>
          <w:tcPr>
            <w:tcW w:w="1405" w:type="dxa"/>
            <w:vMerge/>
            <w:tcBorders>
              <w:top w:val="nil"/>
              <w:left w:val="nil"/>
              <w:bottom w:val="nil"/>
              <w:right w:val="single" w:sz="4" w:space="0" w:color="auto"/>
            </w:tcBorders>
            <w:vAlign w:val="center"/>
            <w:hideMark/>
          </w:tcPr>
          <w:p w14:paraId="69120BE9" w14:textId="77777777" w:rsidR="000E15B7" w:rsidRPr="00EC5748" w:rsidRDefault="000E15B7" w:rsidP="00427297">
            <w:pPr>
              <w:jc w:val="center"/>
              <w:rPr>
                <w:rFonts w:eastAsia="Times New Roman"/>
                <w:color w:val="000000"/>
                <w:lang w:eastAsia="fr-CA"/>
              </w:rPr>
            </w:pPr>
          </w:p>
        </w:tc>
      </w:tr>
      <w:tr w:rsidR="000E15B7" w:rsidRPr="00EC5748" w14:paraId="28DFC755"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19F7D0EB"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5316887C"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227ED0F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128" w:type="dxa"/>
            <w:tcBorders>
              <w:top w:val="nil"/>
              <w:left w:val="nil"/>
              <w:bottom w:val="single" w:sz="4" w:space="0" w:color="auto"/>
              <w:right w:val="nil"/>
            </w:tcBorders>
            <w:vAlign w:val="center"/>
            <w:hideMark/>
          </w:tcPr>
          <w:p w14:paraId="76237E5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14</w:t>
            </w:r>
          </w:p>
        </w:tc>
        <w:tc>
          <w:tcPr>
            <w:tcW w:w="1359" w:type="dxa"/>
            <w:gridSpan w:val="2"/>
            <w:tcBorders>
              <w:top w:val="nil"/>
              <w:left w:val="nil"/>
              <w:bottom w:val="single" w:sz="4" w:space="0" w:color="auto"/>
              <w:right w:val="nil"/>
            </w:tcBorders>
            <w:vAlign w:val="center"/>
            <w:hideMark/>
          </w:tcPr>
          <w:p w14:paraId="4AB32EB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8</w:t>
            </w:r>
          </w:p>
        </w:tc>
        <w:tc>
          <w:tcPr>
            <w:tcW w:w="1841" w:type="dxa"/>
            <w:gridSpan w:val="2"/>
            <w:tcBorders>
              <w:top w:val="nil"/>
              <w:left w:val="nil"/>
              <w:bottom w:val="single" w:sz="4" w:space="0" w:color="auto"/>
              <w:right w:val="nil"/>
            </w:tcBorders>
            <w:vAlign w:val="center"/>
            <w:hideMark/>
          </w:tcPr>
          <w:p w14:paraId="5715062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57,1</w:t>
            </w:r>
          </w:p>
        </w:tc>
        <w:tc>
          <w:tcPr>
            <w:tcW w:w="1405" w:type="dxa"/>
            <w:vMerge/>
            <w:tcBorders>
              <w:top w:val="nil"/>
              <w:left w:val="nil"/>
              <w:bottom w:val="single" w:sz="4" w:space="0" w:color="auto"/>
              <w:right w:val="single" w:sz="4" w:space="0" w:color="auto"/>
            </w:tcBorders>
            <w:vAlign w:val="center"/>
            <w:hideMark/>
          </w:tcPr>
          <w:p w14:paraId="5C9A5C9C" w14:textId="77777777" w:rsidR="000E15B7" w:rsidRPr="00EC5748" w:rsidRDefault="000E15B7" w:rsidP="00427297">
            <w:pPr>
              <w:jc w:val="center"/>
              <w:rPr>
                <w:rFonts w:eastAsia="Times New Roman"/>
                <w:color w:val="000000"/>
                <w:lang w:eastAsia="fr-CA"/>
              </w:rPr>
            </w:pPr>
          </w:p>
        </w:tc>
      </w:tr>
      <w:tr w:rsidR="000E15B7" w:rsidRPr="00EC5748" w14:paraId="3B315E83"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2BEEC89E"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02932CD8"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noWrap/>
            <w:vAlign w:val="bottom"/>
            <w:hideMark/>
          </w:tcPr>
          <w:p w14:paraId="632C0CF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128" w:type="dxa"/>
            <w:tcBorders>
              <w:top w:val="nil"/>
              <w:left w:val="nil"/>
              <w:bottom w:val="single" w:sz="4" w:space="0" w:color="auto"/>
              <w:right w:val="nil"/>
            </w:tcBorders>
            <w:vAlign w:val="center"/>
            <w:hideMark/>
          </w:tcPr>
          <w:p w14:paraId="2BFA704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14</w:t>
            </w:r>
          </w:p>
        </w:tc>
        <w:tc>
          <w:tcPr>
            <w:tcW w:w="1359" w:type="dxa"/>
            <w:gridSpan w:val="2"/>
            <w:tcBorders>
              <w:top w:val="nil"/>
              <w:left w:val="nil"/>
              <w:bottom w:val="single" w:sz="4" w:space="0" w:color="auto"/>
              <w:right w:val="nil"/>
            </w:tcBorders>
            <w:vAlign w:val="center"/>
            <w:hideMark/>
          </w:tcPr>
          <w:p w14:paraId="41B1E04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8</w:t>
            </w:r>
          </w:p>
        </w:tc>
        <w:tc>
          <w:tcPr>
            <w:tcW w:w="1841" w:type="dxa"/>
            <w:gridSpan w:val="2"/>
            <w:tcBorders>
              <w:top w:val="nil"/>
              <w:left w:val="nil"/>
              <w:bottom w:val="single" w:sz="4" w:space="0" w:color="auto"/>
              <w:right w:val="nil"/>
            </w:tcBorders>
            <w:vAlign w:val="center"/>
            <w:hideMark/>
          </w:tcPr>
          <w:p w14:paraId="5FF6F6F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57,1</w:t>
            </w:r>
          </w:p>
        </w:tc>
        <w:tc>
          <w:tcPr>
            <w:tcW w:w="1405" w:type="dxa"/>
            <w:tcBorders>
              <w:top w:val="single" w:sz="4" w:space="0" w:color="auto"/>
              <w:left w:val="nil"/>
              <w:bottom w:val="single" w:sz="4" w:space="0" w:color="auto"/>
              <w:right w:val="single" w:sz="4" w:space="0" w:color="auto"/>
            </w:tcBorders>
            <w:vAlign w:val="center"/>
            <w:hideMark/>
          </w:tcPr>
          <w:p w14:paraId="206E1BE8" w14:textId="1101CDE1"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159BA891"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70038926" w14:textId="77777777" w:rsidR="000E15B7" w:rsidRPr="00EC5748" w:rsidRDefault="000E15B7" w:rsidP="00EC5748">
            <w:pPr>
              <w:rPr>
                <w:rFonts w:eastAsia="Times New Roman"/>
                <w:i/>
                <w:iCs/>
                <w:color w:val="000000"/>
                <w:lang w:eastAsia="fr-CA"/>
              </w:rPr>
            </w:pPr>
          </w:p>
        </w:tc>
        <w:tc>
          <w:tcPr>
            <w:tcW w:w="1632" w:type="dxa"/>
            <w:vMerge w:val="restart"/>
            <w:tcBorders>
              <w:top w:val="nil"/>
              <w:left w:val="nil"/>
              <w:bottom w:val="single" w:sz="4" w:space="0" w:color="000000"/>
              <w:right w:val="nil"/>
            </w:tcBorders>
            <w:vAlign w:val="center"/>
            <w:hideMark/>
          </w:tcPr>
          <w:p w14:paraId="52B1748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Bas-Saint-Laurent</w:t>
            </w:r>
          </w:p>
        </w:tc>
        <w:tc>
          <w:tcPr>
            <w:tcW w:w="1707" w:type="dxa"/>
            <w:tcBorders>
              <w:top w:val="nil"/>
              <w:left w:val="nil"/>
              <w:bottom w:val="single" w:sz="4" w:space="0" w:color="auto"/>
              <w:right w:val="nil"/>
            </w:tcBorders>
            <w:vAlign w:val="center"/>
            <w:hideMark/>
          </w:tcPr>
          <w:p w14:paraId="7CD07DD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128" w:type="dxa"/>
            <w:tcBorders>
              <w:top w:val="nil"/>
              <w:left w:val="nil"/>
              <w:bottom w:val="single" w:sz="4" w:space="0" w:color="auto"/>
              <w:right w:val="nil"/>
            </w:tcBorders>
            <w:vAlign w:val="center"/>
            <w:hideMark/>
          </w:tcPr>
          <w:p w14:paraId="657790C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8</w:t>
            </w:r>
          </w:p>
        </w:tc>
        <w:tc>
          <w:tcPr>
            <w:tcW w:w="1359" w:type="dxa"/>
            <w:gridSpan w:val="2"/>
            <w:tcBorders>
              <w:top w:val="nil"/>
              <w:left w:val="nil"/>
              <w:bottom w:val="single" w:sz="4" w:space="0" w:color="auto"/>
              <w:right w:val="nil"/>
            </w:tcBorders>
            <w:vAlign w:val="center"/>
            <w:hideMark/>
          </w:tcPr>
          <w:p w14:paraId="36FA9BE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841" w:type="dxa"/>
            <w:gridSpan w:val="2"/>
            <w:tcBorders>
              <w:top w:val="nil"/>
              <w:left w:val="nil"/>
              <w:bottom w:val="single" w:sz="4" w:space="0" w:color="auto"/>
              <w:right w:val="nil"/>
            </w:tcBorders>
            <w:vAlign w:val="center"/>
            <w:hideMark/>
          </w:tcPr>
          <w:p w14:paraId="473AE24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37,5</w:t>
            </w:r>
          </w:p>
        </w:tc>
        <w:tc>
          <w:tcPr>
            <w:tcW w:w="1405" w:type="dxa"/>
            <w:vMerge w:val="restart"/>
            <w:tcBorders>
              <w:top w:val="single" w:sz="4" w:space="0" w:color="auto"/>
              <w:left w:val="nil"/>
              <w:bottom w:val="nil"/>
              <w:right w:val="single" w:sz="4" w:space="0" w:color="auto"/>
            </w:tcBorders>
            <w:vAlign w:val="center"/>
            <w:hideMark/>
          </w:tcPr>
          <w:p w14:paraId="39087C77"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55,6</w:t>
            </w:r>
          </w:p>
        </w:tc>
      </w:tr>
      <w:tr w:rsidR="000E15B7" w:rsidRPr="00EC5748" w14:paraId="2072E2AF"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0F9E7328"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4CB48D03"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459290D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128" w:type="dxa"/>
            <w:tcBorders>
              <w:top w:val="nil"/>
              <w:left w:val="nil"/>
              <w:bottom w:val="single" w:sz="4" w:space="0" w:color="auto"/>
              <w:right w:val="nil"/>
            </w:tcBorders>
            <w:vAlign w:val="center"/>
            <w:hideMark/>
          </w:tcPr>
          <w:p w14:paraId="22CC7A4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9</w:t>
            </w:r>
          </w:p>
        </w:tc>
        <w:tc>
          <w:tcPr>
            <w:tcW w:w="1359" w:type="dxa"/>
            <w:gridSpan w:val="2"/>
            <w:tcBorders>
              <w:top w:val="nil"/>
              <w:left w:val="nil"/>
              <w:bottom w:val="single" w:sz="4" w:space="0" w:color="auto"/>
              <w:right w:val="nil"/>
            </w:tcBorders>
            <w:vAlign w:val="center"/>
            <w:hideMark/>
          </w:tcPr>
          <w:p w14:paraId="197ACEC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841" w:type="dxa"/>
            <w:gridSpan w:val="2"/>
            <w:tcBorders>
              <w:top w:val="nil"/>
              <w:left w:val="nil"/>
              <w:bottom w:val="single" w:sz="4" w:space="0" w:color="auto"/>
              <w:right w:val="nil"/>
            </w:tcBorders>
            <w:vAlign w:val="center"/>
            <w:hideMark/>
          </w:tcPr>
          <w:p w14:paraId="175B86D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33,3</w:t>
            </w:r>
          </w:p>
        </w:tc>
        <w:tc>
          <w:tcPr>
            <w:tcW w:w="1405" w:type="dxa"/>
            <w:vMerge/>
            <w:tcBorders>
              <w:top w:val="nil"/>
              <w:left w:val="nil"/>
              <w:bottom w:val="nil"/>
              <w:right w:val="single" w:sz="4" w:space="0" w:color="auto"/>
            </w:tcBorders>
            <w:vAlign w:val="center"/>
            <w:hideMark/>
          </w:tcPr>
          <w:p w14:paraId="2D513BE1" w14:textId="77777777" w:rsidR="000E15B7" w:rsidRPr="00EC5748" w:rsidRDefault="000E15B7" w:rsidP="00427297">
            <w:pPr>
              <w:jc w:val="center"/>
              <w:rPr>
                <w:rFonts w:eastAsia="Times New Roman"/>
                <w:color w:val="000000"/>
                <w:lang w:eastAsia="fr-CA"/>
              </w:rPr>
            </w:pPr>
          </w:p>
        </w:tc>
      </w:tr>
      <w:tr w:rsidR="000E15B7" w:rsidRPr="00EC5748" w14:paraId="16515DFC"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726F1309"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2A3A3AB4"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16EADDB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128" w:type="dxa"/>
            <w:tcBorders>
              <w:top w:val="nil"/>
              <w:left w:val="nil"/>
              <w:bottom w:val="single" w:sz="4" w:space="0" w:color="auto"/>
              <w:right w:val="nil"/>
            </w:tcBorders>
            <w:vAlign w:val="center"/>
            <w:hideMark/>
          </w:tcPr>
          <w:p w14:paraId="4B49670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9</w:t>
            </w:r>
          </w:p>
        </w:tc>
        <w:tc>
          <w:tcPr>
            <w:tcW w:w="1359" w:type="dxa"/>
            <w:gridSpan w:val="2"/>
            <w:tcBorders>
              <w:top w:val="nil"/>
              <w:left w:val="nil"/>
              <w:bottom w:val="single" w:sz="4" w:space="0" w:color="auto"/>
              <w:right w:val="nil"/>
            </w:tcBorders>
            <w:vAlign w:val="center"/>
            <w:hideMark/>
          </w:tcPr>
          <w:p w14:paraId="5A02BA2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w:t>
            </w:r>
          </w:p>
        </w:tc>
        <w:tc>
          <w:tcPr>
            <w:tcW w:w="1841" w:type="dxa"/>
            <w:gridSpan w:val="2"/>
            <w:tcBorders>
              <w:top w:val="nil"/>
              <w:left w:val="nil"/>
              <w:bottom w:val="single" w:sz="4" w:space="0" w:color="auto"/>
              <w:right w:val="nil"/>
            </w:tcBorders>
            <w:vAlign w:val="center"/>
            <w:hideMark/>
          </w:tcPr>
          <w:p w14:paraId="35AB797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44,4</w:t>
            </w:r>
          </w:p>
        </w:tc>
        <w:tc>
          <w:tcPr>
            <w:tcW w:w="1405" w:type="dxa"/>
            <w:vMerge/>
            <w:tcBorders>
              <w:top w:val="nil"/>
              <w:left w:val="nil"/>
              <w:bottom w:val="nil"/>
              <w:right w:val="single" w:sz="4" w:space="0" w:color="auto"/>
            </w:tcBorders>
            <w:vAlign w:val="center"/>
            <w:hideMark/>
          </w:tcPr>
          <w:p w14:paraId="0E600FF8" w14:textId="77777777" w:rsidR="000E15B7" w:rsidRPr="00EC5748" w:rsidRDefault="000E15B7" w:rsidP="00427297">
            <w:pPr>
              <w:jc w:val="center"/>
              <w:rPr>
                <w:rFonts w:eastAsia="Times New Roman"/>
                <w:color w:val="000000"/>
                <w:lang w:eastAsia="fr-CA"/>
              </w:rPr>
            </w:pPr>
          </w:p>
        </w:tc>
      </w:tr>
      <w:tr w:rsidR="000E15B7" w:rsidRPr="00EC5748" w14:paraId="5381256D"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4A8F4B90"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7652A3EF"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5B67F2B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128" w:type="dxa"/>
            <w:tcBorders>
              <w:top w:val="nil"/>
              <w:left w:val="nil"/>
              <w:bottom w:val="single" w:sz="4" w:space="0" w:color="auto"/>
              <w:right w:val="nil"/>
            </w:tcBorders>
            <w:vAlign w:val="center"/>
            <w:hideMark/>
          </w:tcPr>
          <w:p w14:paraId="3DD86B0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9</w:t>
            </w:r>
          </w:p>
        </w:tc>
        <w:tc>
          <w:tcPr>
            <w:tcW w:w="1359" w:type="dxa"/>
            <w:gridSpan w:val="2"/>
            <w:tcBorders>
              <w:top w:val="nil"/>
              <w:left w:val="nil"/>
              <w:bottom w:val="single" w:sz="4" w:space="0" w:color="auto"/>
              <w:right w:val="nil"/>
            </w:tcBorders>
            <w:vAlign w:val="center"/>
            <w:hideMark/>
          </w:tcPr>
          <w:p w14:paraId="328E6C4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841" w:type="dxa"/>
            <w:gridSpan w:val="2"/>
            <w:tcBorders>
              <w:top w:val="nil"/>
              <w:left w:val="nil"/>
              <w:bottom w:val="single" w:sz="4" w:space="0" w:color="auto"/>
              <w:right w:val="nil"/>
            </w:tcBorders>
            <w:vAlign w:val="center"/>
            <w:hideMark/>
          </w:tcPr>
          <w:p w14:paraId="1CDD4C0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33,3</w:t>
            </w:r>
          </w:p>
        </w:tc>
        <w:tc>
          <w:tcPr>
            <w:tcW w:w="1405" w:type="dxa"/>
            <w:vMerge/>
            <w:tcBorders>
              <w:top w:val="nil"/>
              <w:left w:val="nil"/>
              <w:bottom w:val="single" w:sz="4" w:space="0" w:color="auto"/>
              <w:right w:val="single" w:sz="4" w:space="0" w:color="auto"/>
            </w:tcBorders>
            <w:vAlign w:val="center"/>
            <w:hideMark/>
          </w:tcPr>
          <w:p w14:paraId="70BB10D1" w14:textId="77777777" w:rsidR="000E15B7" w:rsidRPr="00EC5748" w:rsidRDefault="000E15B7" w:rsidP="00427297">
            <w:pPr>
              <w:jc w:val="center"/>
              <w:rPr>
                <w:rFonts w:eastAsia="Times New Roman"/>
                <w:color w:val="000000"/>
                <w:lang w:eastAsia="fr-CA"/>
              </w:rPr>
            </w:pPr>
          </w:p>
        </w:tc>
      </w:tr>
      <w:tr w:rsidR="000E15B7" w:rsidRPr="00EC5748" w14:paraId="3E8D3F35"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1C85980C" w14:textId="77777777" w:rsidR="000E15B7" w:rsidRPr="00EC5748" w:rsidRDefault="000E15B7" w:rsidP="00EC5748">
            <w:pPr>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4C26C8D8"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noWrap/>
            <w:vAlign w:val="bottom"/>
            <w:hideMark/>
          </w:tcPr>
          <w:p w14:paraId="06F3E11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128" w:type="dxa"/>
            <w:tcBorders>
              <w:top w:val="nil"/>
              <w:left w:val="nil"/>
              <w:bottom w:val="single" w:sz="4" w:space="0" w:color="auto"/>
              <w:right w:val="nil"/>
            </w:tcBorders>
            <w:noWrap/>
            <w:vAlign w:val="bottom"/>
            <w:hideMark/>
          </w:tcPr>
          <w:p w14:paraId="550DC71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9</w:t>
            </w:r>
          </w:p>
        </w:tc>
        <w:tc>
          <w:tcPr>
            <w:tcW w:w="1359" w:type="dxa"/>
            <w:gridSpan w:val="2"/>
            <w:tcBorders>
              <w:top w:val="nil"/>
              <w:left w:val="nil"/>
              <w:bottom w:val="single" w:sz="4" w:space="0" w:color="auto"/>
              <w:right w:val="nil"/>
            </w:tcBorders>
            <w:noWrap/>
            <w:vAlign w:val="bottom"/>
            <w:hideMark/>
          </w:tcPr>
          <w:p w14:paraId="0C9B20D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841" w:type="dxa"/>
            <w:gridSpan w:val="2"/>
            <w:tcBorders>
              <w:top w:val="nil"/>
              <w:left w:val="nil"/>
              <w:bottom w:val="single" w:sz="4" w:space="0" w:color="auto"/>
              <w:right w:val="nil"/>
            </w:tcBorders>
            <w:noWrap/>
            <w:vAlign w:val="bottom"/>
            <w:hideMark/>
          </w:tcPr>
          <w:p w14:paraId="3646772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33,3</w:t>
            </w:r>
          </w:p>
        </w:tc>
        <w:tc>
          <w:tcPr>
            <w:tcW w:w="1405" w:type="dxa"/>
            <w:tcBorders>
              <w:top w:val="single" w:sz="4" w:space="0" w:color="auto"/>
              <w:left w:val="nil"/>
              <w:bottom w:val="single" w:sz="4" w:space="0" w:color="auto"/>
              <w:right w:val="single" w:sz="4" w:space="0" w:color="auto"/>
            </w:tcBorders>
            <w:vAlign w:val="center"/>
            <w:hideMark/>
          </w:tcPr>
          <w:p w14:paraId="4856A1E2" w14:textId="5B3255C4"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10A539AA" w14:textId="77777777" w:rsidTr="004E323E">
        <w:trPr>
          <w:trHeight w:val="288"/>
        </w:trPr>
        <w:tc>
          <w:tcPr>
            <w:tcW w:w="1985" w:type="dxa"/>
            <w:vMerge w:val="restart"/>
            <w:tcBorders>
              <w:top w:val="nil"/>
              <w:left w:val="single" w:sz="4" w:space="0" w:color="auto"/>
              <w:bottom w:val="single" w:sz="4" w:space="0" w:color="000000"/>
              <w:right w:val="nil"/>
            </w:tcBorders>
            <w:vAlign w:val="center"/>
            <w:hideMark/>
          </w:tcPr>
          <w:p w14:paraId="4BBEA181" w14:textId="77777777" w:rsidR="000E15B7" w:rsidRPr="00EC5748" w:rsidRDefault="000E15B7" w:rsidP="00EC5748">
            <w:pPr>
              <w:jc w:val="center"/>
              <w:rPr>
                <w:rFonts w:eastAsia="Times New Roman"/>
                <w:color w:val="000000"/>
                <w:lang w:eastAsia="fr-CA"/>
              </w:rPr>
            </w:pPr>
            <w:proofErr w:type="spellStart"/>
            <w:r w:rsidRPr="00EC5748">
              <w:rPr>
                <w:rFonts w:eastAsia="Times New Roman"/>
                <w:i/>
                <w:iCs/>
                <w:color w:val="000000"/>
                <w:lang w:eastAsia="fr-CA"/>
              </w:rPr>
              <w:t>Colletotrichum</w:t>
            </w:r>
            <w:proofErr w:type="spellEnd"/>
            <w:r w:rsidRPr="00EC5748">
              <w:rPr>
                <w:rFonts w:eastAsia="Times New Roman"/>
                <w:i/>
                <w:iCs/>
                <w:color w:val="000000"/>
                <w:lang w:eastAsia="fr-CA"/>
              </w:rPr>
              <w:t xml:space="preserve"> </w:t>
            </w:r>
            <w:proofErr w:type="spellStart"/>
            <w:r w:rsidRPr="00EC5748">
              <w:rPr>
                <w:rFonts w:eastAsia="Times New Roman"/>
                <w:color w:val="000000"/>
                <w:lang w:eastAsia="fr-CA"/>
              </w:rPr>
              <w:t>spp</w:t>
            </w:r>
            <w:proofErr w:type="spellEnd"/>
            <w:r w:rsidRPr="00EC5748">
              <w:rPr>
                <w:rFonts w:eastAsia="Times New Roman"/>
                <w:color w:val="000000"/>
                <w:lang w:eastAsia="fr-CA"/>
              </w:rPr>
              <w:t>.</w:t>
            </w:r>
          </w:p>
        </w:tc>
        <w:tc>
          <w:tcPr>
            <w:tcW w:w="1632" w:type="dxa"/>
            <w:vMerge w:val="restart"/>
            <w:tcBorders>
              <w:top w:val="nil"/>
              <w:left w:val="nil"/>
              <w:bottom w:val="single" w:sz="4" w:space="0" w:color="000000"/>
              <w:right w:val="nil"/>
            </w:tcBorders>
            <w:vAlign w:val="center"/>
            <w:hideMark/>
          </w:tcPr>
          <w:p w14:paraId="6B46B61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Laurentides</w:t>
            </w:r>
          </w:p>
        </w:tc>
        <w:tc>
          <w:tcPr>
            <w:tcW w:w="1707" w:type="dxa"/>
            <w:tcBorders>
              <w:top w:val="nil"/>
              <w:left w:val="nil"/>
              <w:bottom w:val="single" w:sz="4" w:space="0" w:color="auto"/>
              <w:right w:val="nil"/>
            </w:tcBorders>
            <w:vAlign w:val="center"/>
            <w:hideMark/>
          </w:tcPr>
          <w:p w14:paraId="12C5781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128" w:type="dxa"/>
            <w:tcBorders>
              <w:top w:val="nil"/>
              <w:left w:val="nil"/>
              <w:bottom w:val="single" w:sz="4" w:space="0" w:color="auto"/>
              <w:right w:val="nil"/>
            </w:tcBorders>
            <w:vAlign w:val="center"/>
            <w:hideMark/>
          </w:tcPr>
          <w:p w14:paraId="3C9CC01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w:t>
            </w:r>
          </w:p>
        </w:tc>
        <w:tc>
          <w:tcPr>
            <w:tcW w:w="1359" w:type="dxa"/>
            <w:gridSpan w:val="2"/>
            <w:tcBorders>
              <w:top w:val="nil"/>
              <w:left w:val="nil"/>
              <w:bottom w:val="single" w:sz="4" w:space="0" w:color="auto"/>
              <w:right w:val="nil"/>
            </w:tcBorders>
            <w:vAlign w:val="center"/>
            <w:hideMark/>
          </w:tcPr>
          <w:p w14:paraId="6481A22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w:t>
            </w:r>
          </w:p>
        </w:tc>
        <w:tc>
          <w:tcPr>
            <w:tcW w:w="1841" w:type="dxa"/>
            <w:gridSpan w:val="2"/>
            <w:tcBorders>
              <w:top w:val="nil"/>
              <w:left w:val="nil"/>
              <w:bottom w:val="single" w:sz="4" w:space="0" w:color="auto"/>
              <w:right w:val="nil"/>
            </w:tcBorders>
            <w:vAlign w:val="center"/>
            <w:hideMark/>
          </w:tcPr>
          <w:p w14:paraId="5C3742D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405" w:type="dxa"/>
            <w:vMerge w:val="restart"/>
            <w:tcBorders>
              <w:top w:val="single" w:sz="4" w:space="0" w:color="auto"/>
              <w:left w:val="nil"/>
              <w:bottom w:val="nil"/>
              <w:right w:val="single" w:sz="4" w:space="0" w:color="auto"/>
            </w:tcBorders>
            <w:vAlign w:val="center"/>
            <w:hideMark/>
          </w:tcPr>
          <w:p w14:paraId="4F0BBED8"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100</w:t>
            </w:r>
          </w:p>
        </w:tc>
      </w:tr>
      <w:tr w:rsidR="000E15B7" w:rsidRPr="00EC5748" w14:paraId="2681024D"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2DA1F664" w14:textId="77777777" w:rsidR="000E15B7" w:rsidRPr="00EC5748" w:rsidRDefault="000E15B7" w:rsidP="00EC5748">
            <w:pPr>
              <w:rPr>
                <w:rFonts w:eastAsia="Times New Roman"/>
                <w:color w:val="000000"/>
                <w:lang w:eastAsia="fr-CA"/>
              </w:rPr>
            </w:pPr>
          </w:p>
        </w:tc>
        <w:tc>
          <w:tcPr>
            <w:tcW w:w="1632" w:type="dxa"/>
            <w:vMerge/>
            <w:tcBorders>
              <w:top w:val="nil"/>
              <w:left w:val="nil"/>
              <w:bottom w:val="single" w:sz="4" w:space="0" w:color="000000"/>
              <w:right w:val="nil"/>
            </w:tcBorders>
            <w:vAlign w:val="center"/>
            <w:hideMark/>
          </w:tcPr>
          <w:p w14:paraId="397626AE"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04B6BE9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128" w:type="dxa"/>
            <w:tcBorders>
              <w:top w:val="nil"/>
              <w:left w:val="nil"/>
              <w:bottom w:val="single" w:sz="4" w:space="0" w:color="auto"/>
              <w:right w:val="nil"/>
            </w:tcBorders>
            <w:vAlign w:val="center"/>
            <w:hideMark/>
          </w:tcPr>
          <w:p w14:paraId="71B9CD5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w:t>
            </w:r>
          </w:p>
        </w:tc>
        <w:tc>
          <w:tcPr>
            <w:tcW w:w="1359" w:type="dxa"/>
            <w:gridSpan w:val="2"/>
            <w:tcBorders>
              <w:top w:val="nil"/>
              <w:left w:val="nil"/>
              <w:bottom w:val="single" w:sz="4" w:space="0" w:color="auto"/>
              <w:right w:val="nil"/>
            </w:tcBorders>
            <w:vAlign w:val="center"/>
            <w:hideMark/>
          </w:tcPr>
          <w:p w14:paraId="000673F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w:t>
            </w:r>
          </w:p>
        </w:tc>
        <w:tc>
          <w:tcPr>
            <w:tcW w:w="1841" w:type="dxa"/>
            <w:gridSpan w:val="2"/>
            <w:tcBorders>
              <w:top w:val="nil"/>
              <w:left w:val="nil"/>
              <w:bottom w:val="single" w:sz="4" w:space="0" w:color="auto"/>
              <w:right w:val="nil"/>
            </w:tcBorders>
            <w:vAlign w:val="center"/>
            <w:hideMark/>
          </w:tcPr>
          <w:p w14:paraId="129AC46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405" w:type="dxa"/>
            <w:vMerge/>
            <w:tcBorders>
              <w:top w:val="nil"/>
              <w:left w:val="nil"/>
              <w:bottom w:val="single" w:sz="4" w:space="0" w:color="auto"/>
              <w:right w:val="single" w:sz="4" w:space="0" w:color="auto"/>
            </w:tcBorders>
            <w:vAlign w:val="center"/>
            <w:hideMark/>
          </w:tcPr>
          <w:p w14:paraId="566CC9A7" w14:textId="77777777" w:rsidR="000E15B7" w:rsidRPr="00EC5748" w:rsidRDefault="000E15B7" w:rsidP="00427297">
            <w:pPr>
              <w:jc w:val="center"/>
              <w:rPr>
                <w:rFonts w:eastAsia="Times New Roman"/>
                <w:color w:val="000000"/>
                <w:lang w:eastAsia="fr-CA"/>
              </w:rPr>
            </w:pPr>
          </w:p>
        </w:tc>
      </w:tr>
      <w:tr w:rsidR="000E15B7" w:rsidRPr="00EC5748" w14:paraId="4D9ECBC4"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3E420430" w14:textId="77777777" w:rsidR="000E15B7" w:rsidRPr="00EC5748" w:rsidRDefault="000E15B7" w:rsidP="00EC5748">
            <w:pPr>
              <w:rPr>
                <w:rFonts w:eastAsia="Times New Roman"/>
                <w:color w:val="000000"/>
                <w:lang w:eastAsia="fr-CA"/>
              </w:rPr>
            </w:pPr>
          </w:p>
        </w:tc>
        <w:tc>
          <w:tcPr>
            <w:tcW w:w="1632" w:type="dxa"/>
            <w:vMerge/>
            <w:tcBorders>
              <w:top w:val="nil"/>
              <w:left w:val="nil"/>
              <w:bottom w:val="single" w:sz="4" w:space="0" w:color="000000"/>
              <w:right w:val="nil"/>
            </w:tcBorders>
            <w:vAlign w:val="center"/>
            <w:hideMark/>
          </w:tcPr>
          <w:p w14:paraId="05A77278"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03DF0E9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 xml:space="preserve">7 et 11 </w:t>
            </w:r>
          </w:p>
        </w:tc>
        <w:tc>
          <w:tcPr>
            <w:tcW w:w="1128" w:type="dxa"/>
            <w:tcBorders>
              <w:top w:val="nil"/>
              <w:left w:val="nil"/>
              <w:bottom w:val="single" w:sz="4" w:space="0" w:color="auto"/>
              <w:right w:val="nil"/>
            </w:tcBorders>
            <w:vAlign w:val="center"/>
            <w:hideMark/>
          </w:tcPr>
          <w:p w14:paraId="1F3F2B5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w:t>
            </w:r>
          </w:p>
        </w:tc>
        <w:tc>
          <w:tcPr>
            <w:tcW w:w="1359" w:type="dxa"/>
            <w:gridSpan w:val="2"/>
            <w:tcBorders>
              <w:top w:val="nil"/>
              <w:left w:val="nil"/>
              <w:bottom w:val="single" w:sz="4" w:space="0" w:color="auto"/>
              <w:right w:val="nil"/>
            </w:tcBorders>
            <w:vAlign w:val="center"/>
            <w:hideMark/>
          </w:tcPr>
          <w:p w14:paraId="556D9D5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w:t>
            </w:r>
          </w:p>
        </w:tc>
        <w:tc>
          <w:tcPr>
            <w:tcW w:w="1841" w:type="dxa"/>
            <w:gridSpan w:val="2"/>
            <w:tcBorders>
              <w:top w:val="nil"/>
              <w:left w:val="nil"/>
              <w:bottom w:val="single" w:sz="4" w:space="0" w:color="auto"/>
              <w:right w:val="nil"/>
            </w:tcBorders>
            <w:vAlign w:val="center"/>
            <w:hideMark/>
          </w:tcPr>
          <w:p w14:paraId="6938EC9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405" w:type="dxa"/>
            <w:tcBorders>
              <w:top w:val="single" w:sz="4" w:space="0" w:color="auto"/>
              <w:left w:val="nil"/>
              <w:bottom w:val="single" w:sz="4" w:space="0" w:color="auto"/>
              <w:right w:val="single" w:sz="4" w:space="0" w:color="auto"/>
            </w:tcBorders>
            <w:vAlign w:val="center"/>
            <w:hideMark/>
          </w:tcPr>
          <w:p w14:paraId="47D83CBC" w14:textId="4371CBCE"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748D27B1"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5FFC0561" w14:textId="77777777" w:rsidR="000E15B7" w:rsidRPr="00EC5748" w:rsidRDefault="000E15B7" w:rsidP="00EC5748">
            <w:pPr>
              <w:rPr>
                <w:rFonts w:eastAsia="Times New Roman"/>
                <w:color w:val="000000"/>
                <w:lang w:eastAsia="fr-CA"/>
              </w:rPr>
            </w:pPr>
          </w:p>
        </w:tc>
        <w:tc>
          <w:tcPr>
            <w:tcW w:w="1632" w:type="dxa"/>
            <w:vMerge w:val="restart"/>
            <w:tcBorders>
              <w:top w:val="nil"/>
              <w:left w:val="nil"/>
              <w:bottom w:val="single" w:sz="4" w:space="0" w:color="000000"/>
              <w:right w:val="nil"/>
            </w:tcBorders>
            <w:vAlign w:val="center"/>
            <w:hideMark/>
          </w:tcPr>
          <w:p w14:paraId="626738A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Capitale-Nationale</w:t>
            </w:r>
          </w:p>
        </w:tc>
        <w:tc>
          <w:tcPr>
            <w:tcW w:w="1707" w:type="dxa"/>
            <w:tcBorders>
              <w:top w:val="nil"/>
              <w:left w:val="nil"/>
              <w:bottom w:val="single" w:sz="4" w:space="0" w:color="auto"/>
              <w:right w:val="nil"/>
            </w:tcBorders>
            <w:vAlign w:val="center"/>
            <w:hideMark/>
          </w:tcPr>
          <w:p w14:paraId="2CF50D0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128" w:type="dxa"/>
            <w:tcBorders>
              <w:top w:val="nil"/>
              <w:left w:val="nil"/>
              <w:bottom w:val="single" w:sz="4" w:space="0" w:color="auto"/>
              <w:right w:val="nil"/>
            </w:tcBorders>
            <w:vAlign w:val="center"/>
            <w:hideMark/>
          </w:tcPr>
          <w:p w14:paraId="50026FE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w:t>
            </w:r>
          </w:p>
        </w:tc>
        <w:tc>
          <w:tcPr>
            <w:tcW w:w="1359" w:type="dxa"/>
            <w:gridSpan w:val="2"/>
            <w:tcBorders>
              <w:top w:val="nil"/>
              <w:left w:val="nil"/>
              <w:bottom w:val="single" w:sz="4" w:space="0" w:color="auto"/>
              <w:right w:val="nil"/>
            </w:tcBorders>
            <w:vAlign w:val="center"/>
            <w:hideMark/>
          </w:tcPr>
          <w:p w14:paraId="088BFC5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w:t>
            </w:r>
          </w:p>
        </w:tc>
        <w:tc>
          <w:tcPr>
            <w:tcW w:w="1841" w:type="dxa"/>
            <w:gridSpan w:val="2"/>
            <w:tcBorders>
              <w:top w:val="nil"/>
              <w:left w:val="nil"/>
              <w:bottom w:val="single" w:sz="4" w:space="0" w:color="auto"/>
              <w:right w:val="nil"/>
            </w:tcBorders>
            <w:vAlign w:val="center"/>
            <w:hideMark/>
          </w:tcPr>
          <w:p w14:paraId="7D5D308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405" w:type="dxa"/>
            <w:vMerge w:val="restart"/>
            <w:tcBorders>
              <w:top w:val="single" w:sz="4" w:space="0" w:color="auto"/>
              <w:left w:val="nil"/>
              <w:bottom w:val="nil"/>
              <w:right w:val="single" w:sz="4" w:space="0" w:color="auto"/>
            </w:tcBorders>
            <w:vAlign w:val="center"/>
            <w:hideMark/>
          </w:tcPr>
          <w:p w14:paraId="7B1BCCCF"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100</w:t>
            </w:r>
          </w:p>
        </w:tc>
      </w:tr>
      <w:tr w:rsidR="000E15B7" w:rsidRPr="00EC5748" w14:paraId="296A824C"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6638B34D" w14:textId="77777777" w:rsidR="000E15B7" w:rsidRPr="00EC5748" w:rsidRDefault="000E15B7" w:rsidP="00EC5748">
            <w:pPr>
              <w:rPr>
                <w:rFonts w:eastAsia="Times New Roman"/>
                <w:color w:val="000000"/>
                <w:lang w:eastAsia="fr-CA"/>
              </w:rPr>
            </w:pPr>
          </w:p>
        </w:tc>
        <w:tc>
          <w:tcPr>
            <w:tcW w:w="1632" w:type="dxa"/>
            <w:vMerge/>
            <w:tcBorders>
              <w:top w:val="nil"/>
              <w:left w:val="nil"/>
              <w:bottom w:val="single" w:sz="4" w:space="0" w:color="000000"/>
              <w:right w:val="nil"/>
            </w:tcBorders>
            <w:vAlign w:val="center"/>
            <w:hideMark/>
          </w:tcPr>
          <w:p w14:paraId="28437082"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3E3FF56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128" w:type="dxa"/>
            <w:tcBorders>
              <w:top w:val="nil"/>
              <w:left w:val="nil"/>
              <w:bottom w:val="single" w:sz="4" w:space="0" w:color="auto"/>
              <w:right w:val="nil"/>
            </w:tcBorders>
            <w:vAlign w:val="center"/>
            <w:hideMark/>
          </w:tcPr>
          <w:p w14:paraId="36B669E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w:t>
            </w:r>
          </w:p>
        </w:tc>
        <w:tc>
          <w:tcPr>
            <w:tcW w:w="1359" w:type="dxa"/>
            <w:gridSpan w:val="2"/>
            <w:tcBorders>
              <w:top w:val="nil"/>
              <w:left w:val="nil"/>
              <w:bottom w:val="single" w:sz="4" w:space="0" w:color="auto"/>
              <w:right w:val="nil"/>
            </w:tcBorders>
            <w:vAlign w:val="center"/>
            <w:hideMark/>
          </w:tcPr>
          <w:p w14:paraId="0F08A11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w:t>
            </w:r>
          </w:p>
        </w:tc>
        <w:tc>
          <w:tcPr>
            <w:tcW w:w="1841" w:type="dxa"/>
            <w:gridSpan w:val="2"/>
            <w:tcBorders>
              <w:top w:val="nil"/>
              <w:left w:val="nil"/>
              <w:bottom w:val="single" w:sz="4" w:space="0" w:color="auto"/>
              <w:right w:val="nil"/>
            </w:tcBorders>
            <w:vAlign w:val="center"/>
            <w:hideMark/>
          </w:tcPr>
          <w:p w14:paraId="5918228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405" w:type="dxa"/>
            <w:vMerge/>
            <w:tcBorders>
              <w:top w:val="nil"/>
              <w:left w:val="nil"/>
              <w:bottom w:val="nil"/>
              <w:right w:val="single" w:sz="4" w:space="0" w:color="auto"/>
            </w:tcBorders>
            <w:vAlign w:val="center"/>
            <w:hideMark/>
          </w:tcPr>
          <w:p w14:paraId="0DF27476" w14:textId="77777777" w:rsidR="000E15B7" w:rsidRPr="00EC5748" w:rsidRDefault="000E15B7" w:rsidP="00427297">
            <w:pPr>
              <w:jc w:val="center"/>
              <w:rPr>
                <w:rFonts w:eastAsia="Times New Roman"/>
                <w:color w:val="000000"/>
                <w:lang w:eastAsia="fr-CA"/>
              </w:rPr>
            </w:pPr>
          </w:p>
        </w:tc>
      </w:tr>
      <w:tr w:rsidR="000E15B7" w:rsidRPr="00EC5748" w14:paraId="5CC94B97"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7615769F" w14:textId="77777777" w:rsidR="000E15B7" w:rsidRPr="00EC5748" w:rsidRDefault="000E15B7" w:rsidP="00EC5748">
            <w:pPr>
              <w:rPr>
                <w:rFonts w:eastAsia="Times New Roman"/>
                <w:color w:val="000000"/>
                <w:lang w:eastAsia="fr-CA"/>
              </w:rPr>
            </w:pPr>
          </w:p>
        </w:tc>
        <w:tc>
          <w:tcPr>
            <w:tcW w:w="1632" w:type="dxa"/>
            <w:vMerge/>
            <w:tcBorders>
              <w:top w:val="nil"/>
              <w:left w:val="nil"/>
              <w:bottom w:val="single" w:sz="4" w:space="0" w:color="000000"/>
              <w:right w:val="nil"/>
            </w:tcBorders>
            <w:vAlign w:val="center"/>
            <w:hideMark/>
          </w:tcPr>
          <w:p w14:paraId="3074A9E0"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06A5B07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128" w:type="dxa"/>
            <w:tcBorders>
              <w:top w:val="nil"/>
              <w:left w:val="nil"/>
              <w:bottom w:val="single" w:sz="4" w:space="0" w:color="auto"/>
              <w:right w:val="nil"/>
            </w:tcBorders>
            <w:vAlign w:val="center"/>
            <w:hideMark/>
          </w:tcPr>
          <w:p w14:paraId="1D6ED67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w:t>
            </w:r>
          </w:p>
        </w:tc>
        <w:tc>
          <w:tcPr>
            <w:tcW w:w="1359" w:type="dxa"/>
            <w:gridSpan w:val="2"/>
            <w:tcBorders>
              <w:top w:val="nil"/>
              <w:left w:val="nil"/>
              <w:bottom w:val="single" w:sz="4" w:space="0" w:color="auto"/>
              <w:right w:val="nil"/>
            </w:tcBorders>
            <w:vAlign w:val="center"/>
            <w:hideMark/>
          </w:tcPr>
          <w:p w14:paraId="4027416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w:t>
            </w:r>
          </w:p>
        </w:tc>
        <w:tc>
          <w:tcPr>
            <w:tcW w:w="1841" w:type="dxa"/>
            <w:gridSpan w:val="2"/>
            <w:tcBorders>
              <w:top w:val="nil"/>
              <w:left w:val="nil"/>
              <w:bottom w:val="single" w:sz="4" w:space="0" w:color="auto"/>
              <w:right w:val="nil"/>
            </w:tcBorders>
            <w:vAlign w:val="center"/>
            <w:hideMark/>
          </w:tcPr>
          <w:p w14:paraId="3D056EB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405" w:type="dxa"/>
            <w:tcBorders>
              <w:top w:val="single" w:sz="4" w:space="0" w:color="auto"/>
              <w:left w:val="nil"/>
              <w:bottom w:val="single" w:sz="4" w:space="0" w:color="auto"/>
              <w:right w:val="single" w:sz="4" w:space="0" w:color="auto"/>
            </w:tcBorders>
            <w:vAlign w:val="center"/>
            <w:hideMark/>
          </w:tcPr>
          <w:p w14:paraId="1474B826" w14:textId="7EC458FC"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47A68217"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3165CC21" w14:textId="77777777" w:rsidR="000E15B7" w:rsidRPr="00EC5748" w:rsidRDefault="000E15B7" w:rsidP="00EC5748">
            <w:pPr>
              <w:rPr>
                <w:rFonts w:eastAsia="Times New Roman"/>
                <w:color w:val="000000"/>
                <w:lang w:eastAsia="fr-CA"/>
              </w:rPr>
            </w:pPr>
          </w:p>
        </w:tc>
        <w:tc>
          <w:tcPr>
            <w:tcW w:w="1632" w:type="dxa"/>
            <w:vMerge w:val="restart"/>
            <w:tcBorders>
              <w:top w:val="nil"/>
              <w:left w:val="nil"/>
              <w:bottom w:val="single" w:sz="4" w:space="0" w:color="000000"/>
              <w:right w:val="nil"/>
            </w:tcBorders>
            <w:vAlign w:val="center"/>
            <w:hideMark/>
          </w:tcPr>
          <w:p w14:paraId="2954D38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Chaudière-Appalaches</w:t>
            </w:r>
          </w:p>
        </w:tc>
        <w:tc>
          <w:tcPr>
            <w:tcW w:w="1707" w:type="dxa"/>
            <w:tcBorders>
              <w:top w:val="nil"/>
              <w:left w:val="nil"/>
              <w:bottom w:val="single" w:sz="4" w:space="0" w:color="auto"/>
              <w:right w:val="nil"/>
            </w:tcBorders>
            <w:vAlign w:val="center"/>
            <w:hideMark/>
          </w:tcPr>
          <w:p w14:paraId="364384B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128" w:type="dxa"/>
            <w:tcBorders>
              <w:top w:val="nil"/>
              <w:left w:val="nil"/>
              <w:bottom w:val="single" w:sz="4" w:space="0" w:color="auto"/>
              <w:right w:val="nil"/>
            </w:tcBorders>
            <w:vAlign w:val="center"/>
            <w:hideMark/>
          </w:tcPr>
          <w:p w14:paraId="5747FDF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15</w:t>
            </w:r>
          </w:p>
        </w:tc>
        <w:tc>
          <w:tcPr>
            <w:tcW w:w="1359" w:type="dxa"/>
            <w:gridSpan w:val="2"/>
            <w:tcBorders>
              <w:top w:val="nil"/>
              <w:left w:val="nil"/>
              <w:bottom w:val="single" w:sz="4" w:space="0" w:color="auto"/>
              <w:right w:val="nil"/>
            </w:tcBorders>
            <w:vAlign w:val="center"/>
            <w:hideMark/>
          </w:tcPr>
          <w:p w14:paraId="7FE67BC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15</w:t>
            </w:r>
          </w:p>
        </w:tc>
        <w:tc>
          <w:tcPr>
            <w:tcW w:w="1841" w:type="dxa"/>
            <w:gridSpan w:val="2"/>
            <w:tcBorders>
              <w:top w:val="nil"/>
              <w:left w:val="nil"/>
              <w:bottom w:val="single" w:sz="4" w:space="0" w:color="auto"/>
              <w:right w:val="nil"/>
            </w:tcBorders>
            <w:vAlign w:val="center"/>
            <w:hideMark/>
          </w:tcPr>
          <w:p w14:paraId="4827E1C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405" w:type="dxa"/>
            <w:vMerge w:val="restart"/>
            <w:tcBorders>
              <w:top w:val="single" w:sz="4" w:space="0" w:color="auto"/>
              <w:left w:val="nil"/>
              <w:bottom w:val="nil"/>
              <w:right w:val="single" w:sz="4" w:space="0" w:color="auto"/>
            </w:tcBorders>
            <w:vAlign w:val="center"/>
            <w:hideMark/>
          </w:tcPr>
          <w:p w14:paraId="3D0D70A0"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100</w:t>
            </w:r>
          </w:p>
        </w:tc>
      </w:tr>
      <w:tr w:rsidR="000E15B7" w:rsidRPr="00EC5748" w14:paraId="65E8B9D1" w14:textId="77777777" w:rsidTr="004E323E">
        <w:trPr>
          <w:trHeight w:val="288"/>
        </w:trPr>
        <w:tc>
          <w:tcPr>
            <w:tcW w:w="1985" w:type="dxa"/>
            <w:vMerge/>
            <w:tcBorders>
              <w:top w:val="nil"/>
              <w:left w:val="single" w:sz="4" w:space="0" w:color="auto"/>
              <w:bottom w:val="single" w:sz="4" w:space="0" w:color="000000"/>
              <w:right w:val="nil"/>
            </w:tcBorders>
            <w:vAlign w:val="center"/>
            <w:hideMark/>
          </w:tcPr>
          <w:p w14:paraId="59D98FA2" w14:textId="77777777" w:rsidR="000E15B7" w:rsidRPr="00EC5748" w:rsidRDefault="000E15B7" w:rsidP="00EC5748">
            <w:pPr>
              <w:rPr>
                <w:rFonts w:eastAsia="Times New Roman"/>
                <w:color w:val="000000"/>
                <w:lang w:eastAsia="fr-CA"/>
              </w:rPr>
            </w:pPr>
          </w:p>
        </w:tc>
        <w:tc>
          <w:tcPr>
            <w:tcW w:w="1632" w:type="dxa"/>
            <w:vMerge/>
            <w:tcBorders>
              <w:top w:val="nil"/>
              <w:left w:val="nil"/>
              <w:bottom w:val="single" w:sz="4" w:space="0" w:color="000000"/>
              <w:right w:val="nil"/>
            </w:tcBorders>
            <w:vAlign w:val="center"/>
            <w:hideMark/>
          </w:tcPr>
          <w:p w14:paraId="0A682D8B"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vAlign w:val="center"/>
            <w:hideMark/>
          </w:tcPr>
          <w:p w14:paraId="59A7F25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128" w:type="dxa"/>
            <w:tcBorders>
              <w:top w:val="nil"/>
              <w:left w:val="nil"/>
              <w:bottom w:val="single" w:sz="4" w:space="0" w:color="auto"/>
              <w:right w:val="nil"/>
            </w:tcBorders>
            <w:vAlign w:val="center"/>
            <w:hideMark/>
          </w:tcPr>
          <w:p w14:paraId="1B09642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15</w:t>
            </w:r>
          </w:p>
        </w:tc>
        <w:tc>
          <w:tcPr>
            <w:tcW w:w="1359" w:type="dxa"/>
            <w:gridSpan w:val="2"/>
            <w:tcBorders>
              <w:top w:val="nil"/>
              <w:left w:val="nil"/>
              <w:bottom w:val="single" w:sz="4" w:space="0" w:color="auto"/>
              <w:right w:val="nil"/>
            </w:tcBorders>
            <w:vAlign w:val="center"/>
            <w:hideMark/>
          </w:tcPr>
          <w:p w14:paraId="5252FC0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15</w:t>
            </w:r>
          </w:p>
        </w:tc>
        <w:tc>
          <w:tcPr>
            <w:tcW w:w="1841" w:type="dxa"/>
            <w:gridSpan w:val="2"/>
            <w:tcBorders>
              <w:top w:val="nil"/>
              <w:left w:val="nil"/>
              <w:bottom w:val="single" w:sz="4" w:space="0" w:color="auto"/>
              <w:right w:val="nil"/>
            </w:tcBorders>
            <w:vAlign w:val="center"/>
            <w:hideMark/>
          </w:tcPr>
          <w:p w14:paraId="549AD78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405" w:type="dxa"/>
            <w:vMerge/>
            <w:tcBorders>
              <w:top w:val="nil"/>
              <w:left w:val="nil"/>
              <w:bottom w:val="single" w:sz="4" w:space="0" w:color="auto"/>
              <w:right w:val="single" w:sz="4" w:space="0" w:color="auto"/>
            </w:tcBorders>
            <w:vAlign w:val="center"/>
            <w:hideMark/>
          </w:tcPr>
          <w:p w14:paraId="534A5697" w14:textId="77777777" w:rsidR="000E15B7" w:rsidRPr="00EC5748" w:rsidRDefault="000E15B7" w:rsidP="00427297">
            <w:pPr>
              <w:jc w:val="center"/>
              <w:rPr>
                <w:rFonts w:eastAsia="Times New Roman"/>
                <w:color w:val="000000"/>
                <w:lang w:eastAsia="fr-CA"/>
              </w:rPr>
            </w:pPr>
          </w:p>
        </w:tc>
      </w:tr>
      <w:tr w:rsidR="000E15B7" w:rsidRPr="00EC5748" w14:paraId="00D6FD3B" w14:textId="77777777" w:rsidTr="004E323E">
        <w:trPr>
          <w:trHeight w:val="288"/>
        </w:trPr>
        <w:tc>
          <w:tcPr>
            <w:tcW w:w="1985" w:type="dxa"/>
            <w:vMerge/>
            <w:tcBorders>
              <w:top w:val="nil"/>
              <w:left w:val="single" w:sz="4" w:space="0" w:color="auto"/>
              <w:bottom w:val="single" w:sz="4" w:space="0" w:color="auto"/>
              <w:right w:val="nil"/>
            </w:tcBorders>
            <w:vAlign w:val="center"/>
            <w:hideMark/>
          </w:tcPr>
          <w:p w14:paraId="2C2D7466" w14:textId="77777777" w:rsidR="000E15B7" w:rsidRPr="00EC5748" w:rsidRDefault="000E15B7" w:rsidP="00EC5748">
            <w:pPr>
              <w:rPr>
                <w:rFonts w:eastAsia="Times New Roman"/>
                <w:color w:val="000000"/>
                <w:lang w:eastAsia="fr-CA"/>
              </w:rPr>
            </w:pPr>
          </w:p>
        </w:tc>
        <w:tc>
          <w:tcPr>
            <w:tcW w:w="1632" w:type="dxa"/>
            <w:vMerge/>
            <w:tcBorders>
              <w:top w:val="nil"/>
              <w:left w:val="nil"/>
              <w:bottom w:val="single" w:sz="4" w:space="0" w:color="auto"/>
              <w:right w:val="nil"/>
            </w:tcBorders>
            <w:vAlign w:val="center"/>
            <w:hideMark/>
          </w:tcPr>
          <w:p w14:paraId="66D72EFD" w14:textId="77777777" w:rsidR="000E15B7" w:rsidRPr="00EC5748" w:rsidRDefault="000E15B7" w:rsidP="00EC5748">
            <w:pPr>
              <w:rPr>
                <w:rFonts w:eastAsia="Times New Roman"/>
                <w:color w:val="000000"/>
                <w:lang w:eastAsia="fr-CA"/>
              </w:rPr>
            </w:pPr>
          </w:p>
        </w:tc>
        <w:tc>
          <w:tcPr>
            <w:tcW w:w="1707" w:type="dxa"/>
            <w:tcBorders>
              <w:top w:val="nil"/>
              <w:left w:val="nil"/>
              <w:bottom w:val="single" w:sz="4" w:space="0" w:color="auto"/>
              <w:right w:val="nil"/>
            </w:tcBorders>
            <w:noWrap/>
            <w:vAlign w:val="bottom"/>
            <w:hideMark/>
          </w:tcPr>
          <w:p w14:paraId="68329A1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128" w:type="dxa"/>
            <w:tcBorders>
              <w:top w:val="nil"/>
              <w:left w:val="nil"/>
              <w:bottom w:val="single" w:sz="4" w:space="0" w:color="auto"/>
              <w:right w:val="nil"/>
            </w:tcBorders>
            <w:noWrap/>
            <w:vAlign w:val="bottom"/>
            <w:hideMark/>
          </w:tcPr>
          <w:p w14:paraId="784F548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15</w:t>
            </w:r>
          </w:p>
        </w:tc>
        <w:tc>
          <w:tcPr>
            <w:tcW w:w="1359" w:type="dxa"/>
            <w:gridSpan w:val="2"/>
            <w:tcBorders>
              <w:top w:val="nil"/>
              <w:left w:val="nil"/>
              <w:bottom w:val="single" w:sz="4" w:space="0" w:color="auto"/>
              <w:right w:val="nil"/>
            </w:tcBorders>
            <w:noWrap/>
            <w:vAlign w:val="bottom"/>
            <w:hideMark/>
          </w:tcPr>
          <w:p w14:paraId="166B956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15</w:t>
            </w:r>
          </w:p>
        </w:tc>
        <w:tc>
          <w:tcPr>
            <w:tcW w:w="1841" w:type="dxa"/>
            <w:gridSpan w:val="2"/>
            <w:tcBorders>
              <w:top w:val="nil"/>
              <w:left w:val="nil"/>
              <w:bottom w:val="single" w:sz="4" w:space="0" w:color="auto"/>
              <w:right w:val="nil"/>
            </w:tcBorders>
            <w:noWrap/>
            <w:vAlign w:val="bottom"/>
            <w:hideMark/>
          </w:tcPr>
          <w:p w14:paraId="384EF40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405" w:type="dxa"/>
            <w:tcBorders>
              <w:top w:val="single" w:sz="4" w:space="0" w:color="auto"/>
              <w:left w:val="nil"/>
              <w:bottom w:val="single" w:sz="4" w:space="0" w:color="auto"/>
              <w:right w:val="single" w:sz="4" w:space="0" w:color="auto"/>
            </w:tcBorders>
            <w:vAlign w:val="center"/>
            <w:hideMark/>
          </w:tcPr>
          <w:p w14:paraId="47F443B9" w14:textId="7D4A5680"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bl>
    <w:p w14:paraId="52BD7EEC" w14:textId="77777777" w:rsidR="000E15B7" w:rsidRPr="00EC5748" w:rsidRDefault="000E15B7" w:rsidP="000E15B7">
      <w:pPr>
        <w:jc w:val="both"/>
        <w:rPr>
          <w:b/>
          <w:bCs/>
        </w:rPr>
      </w:pPr>
      <w:r w:rsidRPr="00EC5748">
        <w:rPr>
          <w:sz w:val="20"/>
          <w:szCs w:val="20"/>
        </w:rPr>
        <w:t xml:space="preserve">Dans le cadre de </w:t>
      </w:r>
      <w:proofErr w:type="spellStart"/>
      <w:r w:rsidRPr="00EC5748">
        <w:rPr>
          <w:i/>
          <w:iCs/>
          <w:sz w:val="20"/>
          <w:szCs w:val="20"/>
        </w:rPr>
        <w:t>Colletotrichum</w:t>
      </w:r>
      <w:proofErr w:type="spellEnd"/>
      <w:r w:rsidRPr="00EC5748">
        <w:rPr>
          <w:i/>
          <w:iCs/>
          <w:sz w:val="20"/>
          <w:szCs w:val="20"/>
        </w:rPr>
        <w:t xml:space="preserve"> </w:t>
      </w:r>
      <w:proofErr w:type="spellStart"/>
      <w:r w:rsidRPr="00EC5748">
        <w:rPr>
          <w:sz w:val="20"/>
          <w:szCs w:val="20"/>
        </w:rPr>
        <w:t>spp</w:t>
      </w:r>
      <w:proofErr w:type="spellEnd"/>
      <w:r w:rsidRPr="00EC5748">
        <w:rPr>
          <w:sz w:val="20"/>
          <w:szCs w:val="20"/>
        </w:rPr>
        <w:t>., seul le pourcentage des souches résistantes aux fongicides du groupe 11 est rapporté. Ce champignon est insensible aux fongicides du groupe 7.</w:t>
      </w:r>
    </w:p>
    <w:p w14:paraId="4ABB104E" w14:textId="77777777" w:rsidR="000E15B7" w:rsidRPr="00EC5748" w:rsidRDefault="000E15B7" w:rsidP="000E15B7">
      <w:pPr>
        <w:jc w:val="both"/>
        <w:rPr>
          <w:b/>
          <w:bCs/>
          <w:color w:val="709FDB" w:themeColor="text2" w:themeTint="80"/>
        </w:rPr>
      </w:pPr>
    </w:p>
    <w:p w14:paraId="056D6D36" w14:textId="77777777" w:rsidR="000E15B7" w:rsidRPr="00EC5748" w:rsidRDefault="000E15B7" w:rsidP="000E15B7">
      <w:pPr>
        <w:jc w:val="both"/>
        <w:rPr>
          <w:b/>
          <w:bCs/>
          <w:color w:val="709FDB" w:themeColor="text2" w:themeTint="80"/>
        </w:rPr>
      </w:pPr>
      <w:r w:rsidRPr="00EC5748">
        <w:rPr>
          <w:b/>
          <w:bCs/>
          <w:color w:val="709FDB" w:themeColor="text2" w:themeTint="80"/>
        </w:rPr>
        <w:t>- Framboisier -</w:t>
      </w:r>
    </w:p>
    <w:tbl>
      <w:tblPr>
        <w:tblW w:w="11057" w:type="dxa"/>
        <w:tblInd w:w="-431" w:type="dxa"/>
        <w:tblCellMar>
          <w:left w:w="70" w:type="dxa"/>
          <w:right w:w="70" w:type="dxa"/>
        </w:tblCellMar>
        <w:tblLook w:val="04A0" w:firstRow="1" w:lastRow="0" w:firstColumn="1" w:lastColumn="0" w:noHBand="0" w:noVBand="1"/>
      </w:tblPr>
      <w:tblGrid>
        <w:gridCol w:w="1985"/>
        <w:gridCol w:w="1632"/>
        <w:gridCol w:w="1345"/>
        <w:gridCol w:w="1275"/>
        <w:gridCol w:w="1418"/>
        <w:gridCol w:w="1559"/>
        <w:gridCol w:w="1843"/>
      </w:tblGrid>
      <w:tr w:rsidR="000E15B7" w:rsidRPr="00EC5748" w14:paraId="14B77360" w14:textId="77777777" w:rsidTr="004E323E">
        <w:trPr>
          <w:trHeight w:val="864"/>
        </w:trPr>
        <w:tc>
          <w:tcPr>
            <w:tcW w:w="1985" w:type="dxa"/>
            <w:tcBorders>
              <w:top w:val="single" w:sz="4" w:space="0" w:color="auto"/>
              <w:left w:val="single" w:sz="4" w:space="0" w:color="auto"/>
              <w:bottom w:val="single" w:sz="4" w:space="0" w:color="auto"/>
              <w:right w:val="single" w:sz="4" w:space="0" w:color="auto"/>
            </w:tcBorders>
            <w:shd w:val="clear" w:color="auto" w:fill="E1EBF7" w:themeFill="text2" w:themeFillTint="1A"/>
            <w:noWrap/>
            <w:vAlign w:val="center"/>
            <w:hideMark/>
          </w:tcPr>
          <w:p w14:paraId="5203612C" w14:textId="77777777" w:rsidR="000E15B7" w:rsidRPr="00EC5748" w:rsidRDefault="000E15B7" w:rsidP="00EC5748">
            <w:pPr>
              <w:ind w:right="-70"/>
              <w:jc w:val="center"/>
              <w:rPr>
                <w:rFonts w:eastAsia="Times New Roman"/>
                <w:b/>
                <w:bCs/>
                <w:lang w:eastAsia="fr-CA"/>
              </w:rPr>
            </w:pPr>
            <w:r w:rsidRPr="00EC5748">
              <w:rPr>
                <w:rFonts w:eastAsia="Times New Roman"/>
                <w:b/>
                <w:bCs/>
                <w:lang w:eastAsia="fr-CA"/>
              </w:rPr>
              <w:t>Champignon</w:t>
            </w:r>
          </w:p>
        </w:tc>
        <w:tc>
          <w:tcPr>
            <w:tcW w:w="1632"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66B3A36F" w14:textId="77777777" w:rsidR="000E15B7" w:rsidRPr="00EC5748" w:rsidRDefault="000E15B7" w:rsidP="00EC5748">
            <w:pPr>
              <w:jc w:val="center"/>
              <w:rPr>
                <w:rFonts w:eastAsia="Times New Roman"/>
                <w:b/>
                <w:bCs/>
                <w:lang w:eastAsia="fr-CA"/>
              </w:rPr>
            </w:pPr>
            <w:r w:rsidRPr="00EC5748">
              <w:rPr>
                <w:rFonts w:eastAsia="Times New Roman"/>
                <w:b/>
                <w:bCs/>
                <w:lang w:eastAsia="fr-CA"/>
              </w:rPr>
              <w:t>Région administrative</w:t>
            </w:r>
          </w:p>
        </w:tc>
        <w:tc>
          <w:tcPr>
            <w:tcW w:w="1345"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1491B9FC" w14:textId="77777777" w:rsidR="000E15B7" w:rsidRPr="00EC5748" w:rsidRDefault="000E15B7" w:rsidP="00EC5748">
            <w:pPr>
              <w:jc w:val="center"/>
              <w:rPr>
                <w:rFonts w:eastAsia="Times New Roman"/>
                <w:b/>
                <w:bCs/>
                <w:lang w:eastAsia="fr-CA"/>
              </w:rPr>
            </w:pPr>
            <w:r w:rsidRPr="00EC5748">
              <w:rPr>
                <w:rFonts w:eastAsia="Times New Roman"/>
                <w:b/>
                <w:bCs/>
                <w:lang w:eastAsia="fr-CA"/>
              </w:rPr>
              <w:t>Groupe(s) de fongicides FRAC</w:t>
            </w:r>
          </w:p>
        </w:tc>
        <w:tc>
          <w:tcPr>
            <w:tcW w:w="1275"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3598B829" w14:textId="77777777" w:rsidR="000E15B7" w:rsidRPr="00EC5748" w:rsidRDefault="000E15B7" w:rsidP="00EC5748">
            <w:pPr>
              <w:jc w:val="center"/>
              <w:rPr>
                <w:rFonts w:eastAsia="Times New Roman"/>
                <w:b/>
                <w:bCs/>
                <w:lang w:eastAsia="fr-CA"/>
              </w:rPr>
            </w:pPr>
            <w:r w:rsidRPr="00EC5748">
              <w:rPr>
                <w:rFonts w:eastAsia="Times New Roman"/>
                <w:b/>
                <w:bCs/>
                <w:lang w:eastAsia="fr-CA"/>
              </w:rPr>
              <w:t>Nombre de souches testées</w:t>
            </w:r>
          </w:p>
        </w:tc>
        <w:tc>
          <w:tcPr>
            <w:tcW w:w="1418"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3EDDDEE7" w14:textId="77777777" w:rsidR="000E15B7" w:rsidRPr="00EC5748" w:rsidRDefault="000E15B7" w:rsidP="00EC5748">
            <w:pPr>
              <w:jc w:val="center"/>
              <w:rPr>
                <w:rFonts w:eastAsia="Times New Roman"/>
                <w:b/>
                <w:bCs/>
                <w:lang w:eastAsia="fr-CA"/>
              </w:rPr>
            </w:pPr>
            <w:r w:rsidRPr="00EC5748">
              <w:rPr>
                <w:rFonts w:eastAsia="Times New Roman"/>
                <w:b/>
                <w:bCs/>
                <w:lang w:eastAsia="fr-CA"/>
              </w:rPr>
              <w:t>Nombre de souches résistantes</w:t>
            </w:r>
          </w:p>
        </w:tc>
        <w:tc>
          <w:tcPr>
            <w:tcW w:w="1559"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60BD0DDF" w14:textId="77777777" w:rsidR="000E15B7" w:rsidRPr="00EC5748" w:rsidRDefault="000E15B7" w:rsidP="00EC5748">
            <w:pPr>
              <w:jc w:val="center"/>
              <w:rPr>
                <w:rFonts w:eastAsia="Times New Roman"/>
                <w:b/>
                <w:bCs/>
                <w:lang w:eastAsia="fr-CA"/>
              </w:rPr>
            </w:pPr>
            <w:r w:rsidRPr="00EC5748">
              <w:rPr>
                <w:rFonts w:eastAsia="Times New Roman"/>
                <w:b/>
                <w:bCs/>
                <w:lang w:eastAsia="fr-CA"/>
              </w:rPr>
              <w:t>% des souches résistantes (groupe fongicide)</w:t>
            </w:r>
          </w:p>
        </w:tc>
        <w:tc>
          <w:tcPr>
            <w:tcW w:w="1843"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4FCA0891" w14:textId="77777777" w:rsidR="000E15B7" w:rsidRPr="00EC5748" w:rsidRDefault="000E15B7" w:rsidP="00427297">
            <w:pPr>
              <w:jc w:val="center"/>
              <w:rPr>
                <w:rFonts w:eastAsia="Times New Roman"/>
                <w:b/>
                <w:bCs/>
                <w:lang w:eastAsia="fr-CA"/>
              </w:rPr>
            </w:pPr>
            <w:r w:rsidRPr="00EC5748">
              <w:rPr>
                <w:rFonts w:eastAsia="Times New Roman"/>
                <w:b/>
                <w:bCs/>
                <w:lang w:eastAsia="fr-CA"/>
              </w:rPr>
              <w:t>% des souches résistantes à au moins un groupe de fongicide (région)</w:t>
            </w:r>
          </w:p>
        </w:tc>
      </w:tr>
      <w:tr w:rsidR="000E15B7" w:rsidRPr="00EC5748" w14:paraId="7D627EB6" w14:textId="77777777" w:rsidTr="004E323E">
        <w:trPr>
          <w:trHeight w:val="288"/>
        </w:trPr>
        <w:tc>
          <w:tcPr>
            <w:tcW w:w="1985" w:type="dxa"/>
            <w:vMerge w:val="restart"/>
            <w:tcBorders>
              <w:top w:val="single" w:sz="4" w:space="0" w:color="auto"/>
              <w:left w:val="single" w:sz="4" w:space="0" w:color="auto"/>
              <w:right w:val="nil"/>
            </w:tcBorders>
            <w:vAlign w:val="center"/>
            <w:hideMark/>
          </w:tcPr>
          <w:p w14:paraId="5CD1F567" w14:textId="77777777" w:rsidR="000E15B7" w:rsidRPr="00EC5748" w:rsidRDefault="000E15B7" w:rsidP="00EC5748">
            <w:pPr>
              <w:ind w:right="-70"/>
              <w:jc w:val="center"/>
              <w:rPr>
                <w:rFonts w:eastAsia="Times New Roman"/>
                <w:i/>
                <w:iCs/>
                <w:color w:val="000000"/>
                <w:lang w:eastAsia="fr-CA"/>
              </w:rPr>
            </w:pPr>
            <w:r w:rsidRPr="00EC5748">
              <w:rPr>
                <w:rFonts w:eastAsia="Times New Roman"/>
                <w:i/>
                <w:iCs/>
                <w:color w:val="000000"/>
                <w:lang w:eastAsia="fr-CA"/>
              </w:rPr>
              <w:t>Botrytis cinerea</w:t>
            </w:r>
          </w:p>
        </w:tc>
        <w:tc>
          <w:tcPr>
            <w:tcW w:w="1632" w:type="dxa"/>
            <w:vMerge w:val="restart"/>
            <w:tcBorders>
              <w:top w:val="nil"/>
              <w:left w:val="nil"/>
              <w:bottom w:val="single" w:sz="4" w:space="0" w:color="000000"/>
              <w:right w:val="nil"/>
            </w:tcBorders>
            <w:vAlign w:val="center"/>
            <w:hideMark/>
          </w:tcPr>
          <w:p w14:paraId="7DC04DD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Capitale-Nationale</w:t>
            </w:r>
          </w:p>
        </w:tc>
        <w:tc>
          <w:tcPr>
            <w:tcW w:w="1345" w:type="dxa"/>
            <w:tcBorders>
              <w:top w:val="nil"/>
              <w:left w:val="nil"/>
              <w:bottom w:val="single" w:sz="4" w:space="0" w:color="auto"/>
              <w:right w:val="nil"/>
            </w:tcBorders>
            <w:vAlign w:val="center"/>
            <w:hideMark/>
          </w:tcPr>
          <w:p w14:paraId="5577917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275" w:type="dxa"/>
            <w:tcBorders>
              <w:top w:val="nil"/>
              <w:left w:val="nil"/>
              <w:bottom w:val="single" w:sz="4" w:space="0" w:color="auto"/>
              <w:right w:val="nil"/>
            </w:tcBorders>
            <w:noWrap/>
            <w:vAlign w:val="center"/>
            <w:hideMark/>
          </w:tcPr>
          <w:p w14:paraId="67136F9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418" w:type="dxa"/>
            <w:tcBorders>
              <w:top w:val="nil"/>
              <w:left w:val="nil"/>
              <w:bottom w:val="single" w:sz="4" w:space="0" w:color="auto"/>
              <w:right w:val="nil"/>
            </w:tcBorders>
            <w:noWrap/>
            <w:vAlign w:val="center"/>
            <w:hideMark/>
          </w:tcPr>
          <w:p w14:paraId="6FAD085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559" w:type="dxa"/>
            <w:tcBorders>
              <w:top w:val="nil"/>
              <w:left w:val="nil"/>
              <w:bottom w:val="single" w:sz="4" w:space="0" w:color="auto"/>
              <w:right w:val="nil"/>
            </w:tcBorders>
            <w:noWrap/>
            <w:vAlign w:val="center"/>
            <w:hideMark/>
          </w:tcPr>
          <w:p w14:paraId="5C26B21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843" w:type="dxa"/>
            <w:vMerge w:val="restart"/>
            <w:tcBorders>
              <w:top w:val="nil"/>
              <w:left w:val="nil"/>
              <w:bottom w:val="nil"/>
              <w:right w:val="single" w:sz="4" w:space="0" w:color="auto"/>
            </w:tcBorders>
            <w:vAlign w:val="center"/>
            <w:hideMark/>
          </w:tcPr>
          <w:p w14:paraId="538A5818"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100</w:t>
            </w:r>
          </w:p>
        </w:tc>
      </w:tr>
      <w:tr w:rsidR="000E15B7" w:rsidRPr="00EC5748" w14:paraId="4441A821" w14:textId="77777777" w:rsidTr="004E323E">
        <w:trPr>
          <w:trHeight w:val="288"/>
        </w:trPr>
        <w:tc>
          <w:tcPr>
            <w:tcW w:w="1985" w:type="dxa"/>
            <w:vMerge/>
            <w:tcBorders>
              <w:top w:val="nil"/>
              <w:left w:val="single" w:sz="4" w:space="0" w:color="auto"/>
              <w:right w:val="nil"/>
            </w:tcBorders>
            <w:vAlign w:val="center"/>
            <w:hideMark/>
          </w:tcPr>
          <w:p w14:paraId="46A3FED5"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1C740ED1"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2B692EC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275" w:type="dxa"/>
            <w:tcBorders>
              <w:top w:val="nil"/>
              <w:left w:val="nil"/>
              <w:bottom w:val="single" w:sz="4" w:space="0" w:color="auto"/>
              <w:right w:val="nil"/>
            </w:tcBorders>
            <w:noWrap/>
            <w:vAlign w:val="center"/>
            <w:hideMark/>
          </w:tcPr>
          <w:p w14:paraId="7D358E9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418" w:type="dxa"/>
            <w:tcBorders>
              <w:top w:val="nil"/>
              <w:left w:val="nil"/>
              <w:bottom w:val="single" w:sz="4" w:space="0" w:color="auto"/>
              <w:right w:val="nil"/>
            </w:tcBorders>
            <w:noWrap/>
            <w:vAlign w:val="center"/>
            <w:hideMark/>
          </w:tcPr>
          <w:p w14:paraId="0AAC3D6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559" w:type="dxa"/>
            <w:tcBorders>
              <w:top w:val="nil"/>
              <w:left w:val="nil"/>
              <w:bottom w:val="single" w:sz="4" w:space="0" w:color="auto"/>
              <w:right w:val="nil"/>
            </w:tcBorders>
            <w:noWrap/>
            <w:vAlign w:val="center"/>
            <w:hideMark/>
          </w:tcPr>
          <w:p w14:paraId="0CBD612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33,3</w:t>
            </w:r>
          </w:p>
        </w:tc>
        <w:tc>
          <w:tcPr>
            <w:tcW w:w="1843" w:type="dxa"/>
            <w:vMerge/>
            <w:tcBorders>
              <w:top w:val="nil"/>
              <w:left w:val="nil"/>
              <w:bottom w:val="nil"/>
              <w:right w:val="single" w:sz="4" w:space="0" w:color="auto"/>
            </w:tcBorders>
            <w:vAlign w:val="center"/>
            <w:hideMark/>
          </w:tcPr>
          <w:p w14:paraId="5844035B" w14:textId="77777777" w:rsidR="000E15B7" w:rsidRPr="00EC5748" w:rsidRDefault="000E15B7" w:rsidP="00427297">
            <w:pPr>
              <w:jc w:val="center"/>
              <w:rPr>
                <w:rFonts w:eastAsia="Times New Roman"/>
                <w:color w:val="000000"/>
                <w:lang w:eastAsia="fr-CA"/>
              </w:rPr>
            </w:pPr>
          </w:p>
        </w:tc>
      </w:tr>
      <w:tr w:rsidR="000E15B7" w:rsidRPr="00EC5748" w14:paraId="3447C419" w14:textId="77777777" w:rsidTr="004E323E">
        <w:trPr>
          <w:trHeight w:val="288"/>
        </w:trPr>
        <w:tc>
          <w:tcPr>
            <w:tcW w:w="1985" w:type="dxa"/>
            <w:vMerge/>
            <w:tcBorders>
              <w:top w:val="nil"/>
              <w:left w:val="single" w:sz="4" w:space="0" w:color="auto"/>
              <w:right w:val="nil"/>
            </w:tcBorders>
            <w:vAlign w:val="center"/>
            <w:hideMark/>
          </w:tcPr>
          <w:p w14:paraId="25DBCD4F"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7C6028EF"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100F65D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275" w:type="dxa"/>
            <w:tcBorders>
              <w:top w:val="nil"/>
              <w:left w:val="nil"/>
              <w:bottom w:val="single" w:sz="4" w:space="0" w:color="auto"/>
              <w:right w:val="nil"/>
            </w:tcBorders>
            <w:noWrap/>
            <w:vAlign w:val="center"/>
            <w:hideMark/>
          </w:tcPr>
          <w:p w14:paraId="39C2BD4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418" w:type="dxa"/>
            <w:tcBorders>
              <w:top w:val="nil"/>
              <w:left w:val="nil"/>
              <w:bottom w:val="single" w:sz="4" w:space="0" w:color="auto"/>
              <w:right w:val="nil"/>
            </w:tcBorders>
            <w:noWrap/>
            <w:vAlign w:val="center"/>
            <w:hideMark/>
          </w:tcPr>
          <w:p w14:paraId="7EE3196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559" w:type="dxa"/>
            <w:tcBorders>
              <w:top w:val="nil"/>
              <w:left w:val="nil"/>
              <w:bottom w:val="single" w:sz="4" w:space="0" w:color="auto"/>
              <w:right w:val="nil"/>
            </w:tcBorders>
            <w:noWrap/>
            <w:vAlign w:val="center"/>
            <w:hideMark/>
          </w:tcPr>
          <w:p w14:paraId="6952D73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843" w:type="dxa"/>
            <w:vMerge/>
            <w:tcBorders>
              <w:top w:val="nil"/>
              <w:left w:val="nil"/>
              <w:bottom w:val="nil"/>
              <w:right w:val="single" w:sz="4" w:space="0" w:color="auto"/>
            </w:tcBorders>
            <w:vAlign w:val="center"/>
            <w:hideMark/>
          </w:tcPr>
          <w:p w14:paraId="2A164AFE" w14:textId="77777777" w:rsidR="000E15B7" w:rsidRPr="00EC5748" w:rsidRDefault="000E15B7" w:rsidP="00427297">
            <w:pPr>
              <w:jc w:val="center"/>
              <w:rPr>
                <w:rFonts w:eastAsia="Times New Roman"/>
                <w:color w:val="000000"/>
                <w:lang w:eastAsia="fr-CA"/>
              </w:rPr>
            </w:pPr>
          </w:p>
        </w:tc>
      </w:tr>
      <w:tr w:rsidR="000E15B7" w:rsidRPr="00EC5748" w14:paraId="2DAB8E4C" w14:textId="77777777" w:rsidTr="004E323E">
        <w:trPr>
          <w:trHeight w:val="288"/>
        </w:trPr>
        <w:tc>
          <w:tcPr>
            <w:tcW w:w="1985" w:type="dxa"/>
            <w:vMerge/>
            <w:tcBorders>
              <w:top w:val="nil"/>
              <w:left w:val="single" w:sz="4" w:space="0" w:color="auto"/>
              <w:right w:val="nil"/>
            </w:tcBorders>
            <w:vAlign w:val="center"/>
            <w:hideMark/>
          </w:tcPr>
          <w:p w14:paraId="403AB40C"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2719F658" w14:textId="77777777" w:rsidR="000E15B7" w:rsidRPr="00EC5748" w:rsidRDefault="000E15B7" w:rsidP="00EC5748">
            <w:pPr>
              <w:rPr>
                <w:rFonts w:eastAsia="Times New Roman"/>
                <w:color w:val="000000"/>
                <w:lang w:eastAsia="fr-CA"/>
              </w:rPr>
            </w:pPr>
          </w:p>
        </w:tc>
        <w:tc>
          <w:tcPr>
            <w:tcW w:w="1345" w:type="dxa"/>
            <w:tcBorders>
              <w:top w:val="nil"/>
              <w:left w:val="nil"/>
              <w:bottom w:val="nil"/>
              <w:right w:val="nil"/>
            </w:tcBorders>
            <w:vAlign w:val="center"/>
            <w:hideMark/>
          </w:tcPr>
          <w:p w14:paraId="2A0C5A7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275" w:type="dxa"/>
            <w:tcBorders>
              <w:top w:val="nil"/>
              <w:left w:val="nil"/>
              <w:bottom w:val="nil"/>
              <w:right w:val="nil"/>
            </w:tcBorders>
            <w:noWrap/>
            <w:vAlign w:val="center"/>
            <w:hideMark/>
          </w:tcPr>
          <w:p w14:paraId="36F798E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418" w:type="dxa"/>
            <w:tcBorders>
              <w:top w:val="nil"/>
              <w:left w:val="nil"/>
              <w:bottom w:val="nil"/>
              <w:right w:val="nil"/>
            </w:tcBorders>
            <w:noWrap/>
            <w:vAlign w:val="center"/>
            <w:hideMark/>
          </w:tcPr>
          <w:p w14:paraId="53B140D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559" w:type="dxa"/>
            <w:tcBorders>
              <w:top w:val="nil"/>
              <w:left w:val="nil"/>
              <w:bottom w:val="nil"/>
              <w:right w:val="nil"/>
            </w:tcBorders>
            <w:noWrap/>
            <w:vAlign w:val="center"/>
            <w:hideMark/>
          </w:tcPr>
          <w:p w14:paraId="5212368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33,3</w:t>
            </w:r>
          </w:p>
        </w:tc>
        <w:tc>
          <w:tcPr>
            <w:tcW w:w="1843" w:type="dxa"/>
            <w:vMerge/>
            <w:tcBorders>
              <w:top w:val="nil"/>
              <w:left w:val="nil"/>
              <w:bottom w:val="single" w:sz="4" w:space="0" w:color="auto"/>
              <w:right w:val="single" w:sz="4" w:space="0" w:color="auto"/>
            </w:tcBorders>
            <w:vAlign w:val="center"/>
            <w:hideMark/>
          </w:tcPr>
          <w:p w14:paraId="1FC39804" w14:textId="77777777" w:rsidR="000E15B7" w:rsidRPr="00EC5748" w:rsidRDefault="000E15B7" w:rsidP="00427297">
            <w:pPr>
              <w:jc w:val="center"/>
              <w:rPr>
                <w:rFonts w:eastAsia="Times New Roman"/>
                <w:color w:val="000000"/>
                <w:lang w:eastAsia="fr-CA"/>
              </w:rPr>
            </w:pPr>
          </w:p>
        </w:tc>
      </w:tr>
      <w:tr w:rsidR="000E15B7" w:rsidRPr="00EC5748" w14:paraId="53CD3A33" w14:textId="77777777" w:rsidTr="004E323E">
        <w:trPr>
          <w:trHeight w:val="288"/>
        </w:trPr>
        <w:tc>
          <w:tcPr>
            <w:tcW w:w="1985" w:type="dxa"/>
            <w:vMerge/>
            <w:tcBorders>
              <w:top w:val="nil"/>
              <w:left w:val="single" w:sz="4" w:space="0" w:color="auto"/>
              <w:right w:val="nil"/>
            </w:tcBorders>
            <w:vAlign w:val="center"/>
            <w:hideMark/>
          </w:tcPr>
          <w:p w14:paraId="297EBFF8"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7E975612"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0ECDED9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275" w:type="dxa"/>
            <w:tcBorders>
              <w:top w:val="nil"/>
              <w:left w:val="nil"/>
              <w:bottom w:val="single" w:sz="4" w:space="0" w:color="auto"/>
              <w:right w:val="nil"/>
            </w:tcBorders>
            <w:noWrap/>
            <w:vAlign w:val="center"/>
            <w:hideMark/>
          </w:tcPr>
          <w:p w14:paraId="0D20C03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418" w:type="dxa"/>
            <w:tcBorders>
              <w:top w:val="nil"/>
              <w:left w:val="nil"/>
              <w:bottom w:val="single" w:sz="4" w:space="0" w:color="auto"/>
              <w:right w:val="nil"/>
            </w:tcBorders>
            <w:noWrap/>
            <w:vAlign w:val="center"/>
            <w:hideMark/>
          </w:tcPr>
          <w:p w14:paraId="3C7A588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559" w:type="dxa"/>
            <w:tcBorders>
              <w:top w:val="nil"/>
              <w:left w:val="nil"/>
              <w:bottom w:val="single" w:sz="4" w:space="0" w:color="auto"/>
              <w:right w:val="nil"/>
            </w:tcBorders>
            <w:noWrap/>
            <w:vAlign w:val="center"/>
            <w:hideMark/>
          </w:tcPr>
          <w:p w14:paraId="3CA2A0B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33,3</w:t>
            </w:r>
          </w:p>
        </w:tc>
        <w:tc>
          <w:tcPr>
            <w:tcW w:w="1843" w:type="dxa"/>
            <w:tcBorders>
              <w:top w:val="single" w:sz="4" w:space="0" w:color="auto"/>
              <w:left w:val="nil"/>
              <w:bottom w:val="single" w:sz="4" w:space="0" w:color="auto"/>
              <w:right w:val="single" w:sz="4" w:space="0" w:color="auto"/>
            </w:tcBorders>
            <w:vAlign w:val="center"/>
            <w:hideMark/>
          </w:tcPr>
          <w:p w14:paraId="45FB4685" w14:textId="3DAD4ED3"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2965613A" w14:textId="77777777" w:rsidTr="004E323E">
        <w:trPr>
          <w:trHeight w:val="288"/>
        </w:trPr>
        <w:tc>
          <w:tcPr>
            <w:tcW w:w="1985" w:type="dxa"/>
            <w:vMerge/>
            <w:tcBorders>
              <w:top w:val="nil"/>
              <w:left w:val="single" w:sz="4" w:space="0" w:color="auto"/>
              <w:right w:val="nil"/>
            </w:tcBorders>
            <w:vAlign w:val="center"/>
            <w:hideMark/>
          </w:tcPr>
          <w:p w14:paraId="033EA739" w14:textId="77777777" w:rsidR="000E15B7" w:rsidRPr="00EC5748" w:rsidRDefault="000E15B7" w:rsidP="00EC5748">
            <w:pPr>
              <w:ind w:right="-70"/>
              <w:rPr>
                <w:rFonts w:eastAsia="Times New Roman"/>
                <w:i/>
                <w:iCs/>
                <w:color w:val="000000"/>
                <w:lang w:eastAsia="fr-CA"/>
              </w:rPr>
            </w:pPr>
          </w:p>
        </w:tc>
        <w:tc>
          <w:tcPr>
            <w:tcW w:w="1632" w:type="dxa"/>
            <w:vMerge w:val="restart"/>
            <w:tcBorders>
              <w:top w:val="nil"/>
              <w:left w:val="nil"/>
              <w:bottom w:val="single" w:sz="4" w:space="0" w:color="000000"/>
              <w:right w:val="nil"/>
            </w:tcBorders>
            <w:noWrap/>
            <w:vAlign w:val="center"/>
            <w:hideMark/>
          </w:tcPr>
          <w:p w14:paraId="15A1F06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Laurentides</w:t>
            </w:r>
          </w:p>
        </w:tc>
        <w:tc>
          <w:tcPr>
            <w:tcW w:w="1345" w:type="dxa"/>
            <w:tcBorders>
              <w:top w:val="nil"/>
              <w:left w:val="nil"/>
              <w:bottom w:val="single" w:sz="4" w:space="0" w:color="auto"/>
              <w:right w:val="nil"/>
            </w:tcBorders>
            <w:vAlign w:val="center"/>
            <w:hideMark/>
          </w:tcPr>
          <w:p w14:paraId="008F755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275" w:type="dxa"/>
            <w:tcBorders>
              <w:top w:val="nil"/>
              <w:left w:val="nil"/>
              <w:bottom w:val="single" w:sz="4" w:space="0" w:color="auto"/>
              <w:right w:val="nil"/>
            </w:tcBorders>
            <w:noWrap/>
            <w:vAlign w:val="center"/>
            <w:hideMark/>
          </w:tcPr>
          <w:p w14:paraId="1A95224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418" w:type="dxa"/>
            <w:tcBorders>
              <w:top w:val="nil"/>
              <w:left w:val="nil"/>
              <w:bottom w:val="single" w:sz="4" w:space="0" w:color="auto"/>
              <w:right w:val="nil"/>
            </w:tcBorders>
            <w:noWrap/>
            <w:vAlign w:val="center"/>
            <w:hideMark/>
          </w:tcPr>
          <w:p w14:paraId="66510D4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559" w:type="dxa"/>
            <w:tcBorders>
              <w:top w:val="nil"/>
              <w:left w:val="nil"/>
              <w:bottom w:val="single" w:sz="4" w:space="0" w:color="auto"/>
              <w:right w:val="nil"/>
            </w:tcBorders>
            <w:noWrap/>
            <w:vAlign w:val="center"/>
            <w:hideMark/>
          </w:tcPr>
          <w:p w14:paraId="4E77626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843" w:type="dxa"/>
            <w:vMerge w:val="restart"/>
            <w:tcBorders>
              <w:top w:val="single" w:sz="4" w:space="0" w:color="auto"/>
              <w:left w:val="nil"/>
              <w:bottom w:val="nil"/>
              <w:right w:val="single" w:sz="4" w:space="0" w:color="auto"/>
            </w:tcBorders>
            <w:noWrap/>
            <w:vAlign w:val="center"/>
            <w:hideMark/>
          </w:tcPr>
          <w:p w14:paraId="5507DAE5"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100</w:t>
            </w:r>
          </w:p>
        </w:tc>
      </w:tr>
      <w:tr w:rsidR="000E15B7" w:rsidRPr="00EC5748" w14:paraId="21634B23" w14:textId="77777777" w:rsidTr="004E323E">
        <w:trPr>
          <w:trHeight w:val="288"/>
        </w:trPr>
        <w:tc>
          <w:tcPr>
            <w:tcW w:w="1985" w:type="dxa"/>
            <w:vMerge/>
            <w:tcBorders>
              <w:top w:val="nil"/>
              <w:left w:val="single" w:sz="4" w:space="0" w:color="auto"/>
              <w:right w:val="nil"/>
            </w:tcBorders>
            <w:vAlign w:val="center"/>
            <w:hideMark/>
          </w:tcPr>
          <w:p w14:paraId="314FC656"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5C78AA08"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1C1FD81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275" w:type="dxa"/>
            <w:tcBorders>
              <w:top w:val="nil"/>
              <w:left w:val="nil"/>
              <w:bottom w:val="single" w:sz="4" w:space="0" w:color="auto"/>
              <w:right w:val="nil"/>
            </w:tcBorders>
            <w:noWrap/>
            <w:vAlign w:val="center"/>
            <w:hideMark/>
          </w:tcPr>
          <w:p w14:paraId="0CB296E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418" w:type="dxa"/>
            <w:tcBorders>
              <w:top w:val="nil"/>
              <w:left w:val="nil"/>
              <w:bottom w:val="single" w:sz="4" w:space="0" w:color="auto"/>
              <w:right w:val="nil"/>
            </w:tcBorders>
            <w:noWrap/>
            <w:vAlign w:val="center"/>
            <w:hideMark/>
          </w:tcPr>
          <w:p w14:paraId="3A53982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559" w:type="dxa"/>
            <w:tcBorders>
              <w:top w:val="nil"/>
              <w:left w:val="nil"/>
              <w:bottom w:val="single" w:sz="4" w:space="0" w:color="auto"/>
              <w:right w:val="nil"/>
            </w:tcBorders>
            <w:noWrap/>
            <w:vAlign w:val="center"/>
            <w:hideMark/>
          </w:tcPr>
          <w:p w14:paraId="3401A6A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33,3</w:t>
            </w:r>
          </w:p>
        </w:tc>
        <w:tc>
          <w:tcPr>
            <w:tcW w:w="1843" w:type="dxa"/>
            <w:vMerge/>
            <w:tcBorders>
              <w:top w:val="nil"/>
              <w:left w:val="nil"/>
              <w:bottom w:val="nil"/>
              <w:right w:val="single" w:sz="4" w:space="0" w:color="auto"/>
            </w:tcBorders>
            <w:vAlign w:val="center"/>
            <w:hideMark/>
          </w:tcPr>
          <w:p w14:paraId="3E641AC2" w14:textId="77777777" w:rsidR="000E15B7" w:rsidRPr="00EC5748" w:rsidRDefault="000E15B7" w:rsidP="00427297">
            <w:pPr>
              <w:jc w:val="center"/>
              <w:rPr>
                <w:rFonts w:eastAsia="Times New Roman"/>
                <w:color w:val="000000"/>
                <w:lang w:eastAsia="fr-CA"/>
              </w:rPr>
            </w:pPr>
          </w:p>
        </w:tc>
      </w:tr>
      <w:tr w:rsidR="000E15B7" w:rsidRPr="00EC5748" w14:paraId="49CCA3C5" w14:textId="77777777" w:rsidTr="004E323E">
        <w:trPr>
          <w:trHeight w:val="288"/>
        </w:trPr>
        <w:tc>
          <w:tcPr>
            <w:tcW w:w="1985" w:type="dxa"/>
            <w:vMerge/>
            <w:tcBorders>
              <w:top w:val="nil"/>
              <w:left w:val="single" w:sz="4" w:space="0" w:color="auto"/>
              <w:right w:val="nil"/>
            </w:tcBorders>
            <w:vAlign w:val="center"/>
            <w:hideMark/>
          </w:tcPr>
          <w:p w14:paraId="79463C34"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16808377"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5B40275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275" w:type="dxa"/>
            <w:tcBorders>
              <w:top w:val="nil"/>
              <w:left w:val="nil"/>
              <w:bottom w:val="single" w:sz="4" w:space="0" w:color="auto"/>
              <w:right w:val="nil"/>
            </w:tcBorders>
            <w:noWrap/>
            <w:vAlign w:val="center"/>
            <w:hideMark/>
          </w:tcPr>
          <w:p w14:paraId="4732673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418" w:type="dxa"/>
            <w:tcBorders>
              <w:top w:val="nil"/>
              <w:left w:val="nil"/>
              <w:bottom w:val="single" w:sz="4" w:space="0" w:color="auto"/>
              <w:right w:val="nil"/>
            </w:tcBorders>
            <w:noWrap/>
            <w:vAlign w:val="center"/>
            <w:hideMark/>
          </w:tcPr>
          <w:p w14:paraId="73AF43D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559" w:type="dxa"/>
            <w:tcBorders>
              <w:top w:val="nil"/>
              <w:left w:val="nil"/>
              <w:bottom w:val="single" w:sz="4" w:space="0" w:color="auto"/>
              <w:right w:val="nil"/>
            </w:tcBorders>
            <w:noWrap/>
            <w:vAlign w:val="center"/>
            <w:hideMark/>
          </w:tcPr>
          <w:p w14:paraId="25CA36D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66,7</w:t>
            </w:r>
          </w:p>
        </w:tc>
        <w:tc>
          <w:tcPr>
            <w:tcW w:w="1843" w:type="dxa"/>
            <w:vMerge/>
            <w:tcBorders>
              <w:top w:val="nil"/>
              <w:left w:val="nil"/>
              <w:bottom w:val="nil"/>
              <w:right w:val="single" w:sz="4" w:space="0" w:color="auto"/>
            </w:tcBorders>
            <w:vAlign w:val="center"/>
            <w:hideMark/>
          </w:tcPr>
          <w:p w14:paraId="59A5D441" w14:textId="77777777" w:rsidR="000E15B7" w:rsidRPr="00EC5748" w:rsidRDefault="000E15B7" w:rsidP="00427297">
            <w:pPr>
              <w:jc w:val="center"/>
              <w:rPr>
                <w:rFonts w:eastAsia="Times New Roman"/>
                <w:color w:val="000000"/>
                <w:lang w:eastAsia="fr-CA"/>
              </w:rPr>
            </w:pPr>
          </w:p>
        </w:tc>
      </w:tr>
      <w:tr w:rsidR="000E15B7" w:rsidRPr="00EC5748" w14:paraId="227E0BF0" w14:textId="77777777" w:rsidTr="004E323E">
        <w:trPr>
          <w:trHeight w:val="288"/>
        </w:trPr>
        <w:tc>
          <w:tcPr>
            <w:tcW w:w="1985" w:type="dxa"/>
            <w:vMerge/>
            <w:tcBorders>
              <w:top w:val="nil"/>
              <w:left w:val="single" w:sz="4" w:space="0" w:color="auto"/>
              <w:right w:val="nil"/>
            </w:tcBorders>
            <w:vAlign w:val="center"/>
            <w:hideMark/>
          </w:tcPr>
          <w:p w14:paraId="4AB39475"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665328D0"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1F51AB6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275" w:type="dxa"/>
            <w:tcBorders>
              <w:top w:val="nil"/>
              <w:left w:val="nil"/>
              <w:bottom w:val="single" w:sz="4" w:space="0" w:color="auto"/>
              <w:right w:val="nil"/>
            </w:tcBorders>
            <w:noWrap/>
            <w:vAlign w:val="center"/>
            <w:hideMark/>
          </w:tcPr>
          <w:p w14:paraId="1B28465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418" w:type="dxa"/>
            <w:tcBorders>
              <w:top w:val="nil"/>
              <w:left w:val="nil"/>
              <w:bottom w:val="single" w:sz="4" w:space="0" w:color="auto"/>
              <w:right w:val="nil"/>
            </w:tcBorders>
            <w:noWrap/>
            <w:vAlign w:val="center"/>
            <w:hideMark/>
          </w:tcPr>
          <w:p w14:paraId="7320120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559" w:type="dxa"/>
            <w:tcBorders>
              <w:top w:val="nil"/>
              <w:left w:val="nil"/>
              <w:bottom w:val="single" w:sz="4" w:space="0" w:color="auto"/>
              <w:right w:val="nil"/>
            </w:tcBorders>
            <w:noWrap/>
            <w:vAlign w:val="center"/>
            <w:hideMark/>
          </w:tcPr>
          <w:p w14:paraId="305FC7B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50</w:t>
            </w:r>
          </w:p>
        </w:tc>
        <w:tc>
          <w:tcPr>
            <w:tcW w:w="1843" w:type="dxa"/>
            <w:vMerge/>
            <w:tcBorders>
              <w:top w:val="nil"/>
              <w:left w:val="nil"/>
              <w:bottom w:val="single" w:sz="4" w:space="0" w:color="auto"/>
              <w:right w:val="single" w:sz="4" w:space="0" w:color="auto"/>
            </w:tcBorders>
            <w:vAlign w:val="center"/>
            <w:hideMark/>
          </w:tcPr>
          <w:p w14:paraId="657DB462" w14:textId="77777777" w:rsidR="000E15B7" w:rsidRPr="00EC5748" w:rsidRDefault="000E15B7" w:rsidP="00427297">
            <w:pPr>
              <w:jc w:val="center"/>
              <w:rPr>
                <w:rFonts w:eastAsia="Times New Roman"/>
                <w:color w:val="000000"/>
                <w:lang w:eastAsia="fr-CA"/>
              </w:rPr>
            </w:pPr>
          </w:p>
        </w:tc>
      </w:tr>
      <w:tr w:rsidR="000E15B7" w:rsidRPr="00EC5748" w14:paraId="44D8120B" w14:textId="77777777" w:rsidTr="004E323E">
        <w:trPr>
          <w:trHeight w:val="288"/>
        </w:trPr>
        <w:tc>
          <w:tcPr>
            <w:tcW w:w="1985" w:type="dxa"/>
            <w:vMerge/>
            <w:tcBorders>
              <w:top w:val="nil"/>
              <w:left w:val="single" w:sz="4" w:space="0" w:color="auto"/>
              <w:right w:val="nil"/>
            </w:tcBorders>
            <w:vAlign w:val="center"/>
            <w:hideMark/>
          </w:tcPr>
          <w:p w14:paraId="589CC516"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1141C119"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2299A95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275" w:type="dxa"/>
            <w:tcBorders>
              <w:top w:val="nil"/>
              <w:left w:val="nil"/>
              <w:bottom w:val="single" w:sz="4" w:space="0" w:color="auto"/>
              <w:right w:val="nil"/>
            </w:tcBorders>
            <w:noWrap/>
            <w:vAlign w:val="center"/>
            <w:hideMark/>
          </w:tcPr>
          <w:p w14:paraId="7C02062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418" w:type="dxa"/>
            <w:tcBorders>
              <w:top w:val="nil"/>
              <w:left w:val="nil"/>
              <w:bottom w:val="single" w:sz="4" w:space="0" w:color="auto"/>
              <w:right w:val="nil"/>
            </w:tcBorders>
            <w:noWrap/>
            <w:vAlign w:val="center"/>
            <w:hideMark/>
          </w:tcPr>
          <w:p w14:paraId="74B2218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559" w:type="dxa"/>
            <w:tcBorders>
              <w:top w:val="nil"/>
              <w:left w:val="nil"/>
              <w:bottom w:val="single" w:sz="4" w:space="0" w:color="auto"/>
              <w:right w:val="nil"/>
            </w:tcBorders>
            <w:noWrap/>
            <w:vAlign w:val="center"/>
            <w:hideMark/>
          </w:tcPr>
          <w:p w14:paraId="70BD873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50</w:t>
            </w:r>
          </w:p>
        </w:tc>
        <w:tc>
          <w:tcPr>
            <w:tcW w:w="1843" w:type="dxa"/>
            <w:tcBorders>
              <w:top w:val="single" w:sz="4" w:space="0" w:color="auto"/>
              <w:left w:val="nil"/>
              <w:bottom w:val="single" w:sz="4" w:space="0" w:color="auto"/>
              <w:right w:val="single" w:sz="4" w:space="0" w:color="auto"/>
            </w:tcBorders>
            <w:vAlign w:val="center"/>
            <w:hideMark/>
          </w:tcPr>
          <w:p w14:paraId="31F95253" w14:textId="52124C5B"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46AC676D" w14:textId="77777777" w:rsidTr="004E323E">
        <w:trPr>
          <w:trHeight w:val="288"/>
        </w:trPr>
        <w:tc>
          <w:tcPr>
            <w:tcW w:w="1985" w:type="dxa"/>
            <w:vMerge/>
            <w:tcBorders>
              <w:top w:val="nil"/>
              <w:left w:val="single" w:sz="4" w:space="0" w:color="auto"/>
              <w:right w:val="nil"/>
            </w:tcBorders>
            <w:vAlign w:val="center"/>
            <w:hideMark/>
          </w:tcPr>
          <w:p w14:paraId="30390C4F" w14:textId="77777777" w:rsidR="000E15B7" w:rsidRPr="00EC5748" w:rsidRDefault="000E15B7" w:rsidP="00EC5748">
            <w:pPr>
              <w:ind w:right="-70"/>
              <w:rPr>
                <w:rFonts w:eastAsia="Times New Roman"/>
                <w:i/>
                <w:iCs/>
                <w:color w:val="000000"/>
                <w:lang w:eastAsia="fr-CA"/>
              </w:rPr>
            </w:pPr>
          </w:p>
        </w:tc>
        <w:tc>
          <w:tcPr>
            <w:tcW w:w="1632" w:type="dxa"/>
            <w:vMerge w:val="restart"/>
            <w:tcBorders>
              <w:top w:val="nil"/>
              <w:left w:val="nil"/>
              <w:bottom w:val="single" w:sz="4" w:space="0" w:color="000000"/>
              <w:right w:val="nil"/>
            </w:tcBorders>
            <w:noWrap/>
            <w:vAlign w:val="center"/>
            <w:hideMark/>
          </w:tcPr>
          <w:p w14:paraId="179A042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Mauricie</w:t>
            </w:r>
          </w:p>
        </w:tc>
        <w:tc>
          <w:tcPr>
            <w:tcW w:w="1345" w:type="dxa"/>
            <w:tcBorders>
              <w:top w:val="nil"/>
              <w:left w:val="nil"/>
              <w:bottom w:val="single" w:sz="4" w:space="0" w:color="auto"/>
              <w:right w:val="nil"/>
            </w:tcBorders>
            <w:vAlign w:val="center"/>
            <w:hideMark/>
          </w:tcPr>
          <w:p w14:paraId="0A9DEA4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275" w:type="dxa"/>
            <w:tcBorders>
              <w:top w:val="nil"/>
              <w:left w:val="nil"/>
              <w:bottom w:val="single" w:sz="4" w:space="0" w:color="auto"/>
              <w:right w:val="nil"/>
            </w:tcBorders>
            <w:noWrap/>
            <w:vAlign w:val="bottom"/>
            <w:hideMark/>
          </w:tcPr>
          <w:p w14:paraId="6731F37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418" w:type="dxa"/>
            <w:tcBorders>
              <w:top w:val="nil"/>
              <w:left w:val="nil"/>
              <w:bottom w:val="single" w:sz="4" w:space="0" w:color="auto"/>
              <w:right w:val="nil"/>
            </w:tcBorders>
            <w:noWrap/>
            <w:vAlign w:val="bottom"/>
            <w:hideMark/>
          </w:tcPr>
          <w:p w14:paraId="0256339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559" w:type="dxa"/>
            <w:tcBorders>
              <w:top w:val="nil"/>
              <w:left w:val="nil"/>
              <w:bottom w:val="single" w:sz="4" w:space="0" w:color="auto"/>
              <w:right w:val="nil"/>
            </w:tcBorders>
            <w:noWrap/>
            <w:vAlign w:val="bottom"/>
            <w:hideMark/>
          </w:tcPr>
          <w:p w14:paraId="4005D80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16,7</w:t>
            </w:r>
          </w:p>
        </w:tc>
        <w:tc>
          <w:tcPr>
            <w:tcW w:w="1843" w:type="dxa"/>
            <w:vMerge w:val="restart"/>
            <w:tcBorders>
              <w:top w:val="single" w:sz="4" w:space="0" w:color="auto"/>
              <w:left w:val="nil"/>
              <w:bottom w:val="nil"/>
              <w:right w:val="single" w:sz="4" w:space="0" w:color="auto"/>
            </w:tcBorders>
            <w:noWrap/>
            <w:vAlign w:val="center"/>
            <w:hideMark/>
          </w:tcPr>
          <w:p w14:paraId="3B3DA33E"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83,3</w:t>
            </w:r>
          </w:p>
        </w:tc>
      </w:tr>
      <w:tr w:rsidR="000E15B7" w:rsidRPr="00EC5748" w14:paraId="2648375D" w14:textId="77777777" w:rsidTr="004E323E">
        <w:trPr>
          <w:trHeight w:val="288"/>
        </w:trPr>
        <w:tc>
          <w:tcPr>
            <w:tcW w:w="1985" w:type="dxa"/>
            <w:vMerge/>
            <w:tcBorders>
              <w:top w:val="nil"/>
              <w:left w:val="single" w:sz="4" w:space="0" w:color="auto"/>
              <w:right w:val="nil"/>
            </w:tcBorders>
            <w:vAlign w:val="center"/>
            <w:hideMark/>
          </w:tcPr>
          <w:p w14:paraId="5F089BA2"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68478A4A"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1B911D1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275" w:type="dxa"/>
            <w:tcBorders>
              <w:top w:val="nil"/>
              <w:left w:val="nil"/>
              <w:bottom w:val="single" w:sz="4" w:space="0" w:color="auto"/>
              <w:right w:val="nil"/>
            </w:tcBorders>
            <w:noWrap/>
            <w:vAlign w:val="bottom"/>
            <w:hideMark/>
          </w:tcPr>
          <w:p w14:paraId="2914C30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418" w:type="dxa"/>
            <w:tcBorders>
              <w:top w:val="nil"/>
              <w:left w:val="nil"/>
              <w:bottom w:val="single" w:sz="4" w:space="0" w:color="auto"/>
              <w:right w:val="nil"/>
            </w:tcBorders>
            <w:noWrap/>
            <w:vAlign w:val="bottom"/>
            <w:hideMark/>
          </w:tcPr>
          <w:p w14:paraId="1C8AEA0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w:t>
            </w:r>
          </w:p>
        </w:tc>
        <w:tc>
          <w:tcPr>
            <w:tcW w:w="1559" w:type="dxa"/>
            <w:tcBorders>
              <w:top w:val="nil"/>
              <w:left w:val="nil"/>
              <w:bottom w:val="single" w:sz="4" w:space="0" w:color="auto"/>
              <w:right w:val="nil"/>
            </w:tcBorders>
            <w:noWrap/>
            <w:vAlign w:val="bottom"/>
            <w:hideMark/>
          </w:tcPr>
          <w:p w14:paraId="18415D3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66,7</w:t>
            </w:r>
          </w:p>
        </w:tc>
        <w:tc>
          <w:tcPr>
            <w:tcW w:w="1843" w:type="dxa"/>
            <w:vMerge/>
            <w:tcBorders>
              <w:top w:val="nil"/>
              <w:left w:val="nil"/>
              <w:bottom w:val="nil"/>
              <w:right w:val="single" w:sz="4" w:space="0" w:color="auto"/>
            </w:tcBorders>
            <w:vAlign w:val="center"/>
            <w:hideMark/>
          </w:tcPr>
          <w:p w14:paraId="1EA11FA8" w14:textId="77777777" w:rsidR="000E15B7" w:rsidRPr="00EC5748" w:rsidRDefault="000E15B7" w:rsidP="00427297">
            <w:pPr>
              <w:jc w:val="center"/>
              <w:rPr>
                <w:rFonts w:eastAsia="Times New Roman"/>
                <w:color w:val="000000"/>
                <w:lang w:eastAsia="fr-CA"/>
              </w:rPr>
            </w:pPr>
          </w:p>
        </w:tc>
      </w:tr>
      <w:tr w:rsidR="000E15B7" w:rsidRPr="00EC5748" w14:paraId="2DBAA9AF" w14:textId="77777777" w:rsidTr="004E323E">
        <w:trPr>
          <w:trHeight w:val="288"/>
        </w:trPr>
        <w:tc>
          <w:tcPr>
            <w:tcW w:w="1985" w:type="dxa"/>
            <w:vMerge/>
            <w:tcBorders>
              <w:top w:val="nil"/>
              <w:left w:val="single" w:sz="4" w:space="0" w:color="auto"/>
              <w:right w:val="nil"/>
            </w:tcBorders>
            <w:vAlign w:val="center"/>
            <w:hideMark/>
          </w:tcPr>
          <w:p w14:paraId="3B80C1A1"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559104F8"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377882E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275" w:type="dxa"/>
            <w:tcBorders>
              <w:top w:val="nil"/>
              <w:left w:val="nil"/>
              <w:bottom w:val="single" w:sz="4" w:space="0" w:color="auto"/>
              <w:right w:val="nil"/>
            </w:tcBorders>
            <w:noWrap/>
            <w:vAlign w:val="bottom"/>
            <w:hideMark/>
          </w:tcPr>
          <w:p w14:paraId="25418A9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418" w:type="dxa"/>
            <w:tcBorders>
              <w:top w:val="nil"/>
              <w:left w:val="nil"/>
              <w:bottom w:val="single" w:sz="4" w:space="0" w:color="auto"/>
              <w:right w:val="nil"/>
            </w:tcBorders>
            <w:noWrap/>
            <w:vAlign w:val="bottom"/>
            <w:hideMark/>
          </w:tcPr>
          <w:p w14:paraId="5E6F8E9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559" w:type="dxa"/>
            <w:tcBorders>
              <w:top w:val="nil"/>
              <w:left w:val="nil"/>
              <w:bottom w:val="single" w:sz="4" w:space="0" w:color="auto"/>
              <w:right w:val="nil"/>
            </w:tcBorders>
            <w:noWrap/>
            <w:vAlign w:val="bottom"/>
            <w:hideMark/>
          </w:tcPr>
          <w:p w14:paraId="78BD08D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50</w:t>
            </w:r>
          </w:p>
        </w:tc>
        <w:tc>
          <w:tcPr>
            <w:tcW w:w="1843" w:type="dxa"/>
            <w:vMerge/>
            <w:tcBorders>
              <w:top w:val="nil"/>
              <w:left w:val="nil"/>
              <w:bottom w:val="nil"/>
              <w:right w:val="single" w:sz="4" w:space="0" w:color="auto"/>
            </w:tcBorders>
            <w:vAlign w:val="center"/>
            <w:hideMark/>
          </w:tcPr>
          <w:p w14:paraId="070A35B2" w14:textId="77777777" w:rsidR="000E15B7" w:rsidRPr="00EC5748" w:rsidRDefault="000E15B7" w:rsidP="00427297">
            <w:pPr>
              <w:jc w:val="center"/>
              <w:rPr>
                <w:rFonts w:eastAsia="Times New Roman"/>
                <w:color w:val="000000"/>
                <w:lang w:eastAsia="fr-CA"/>
              </w:rPr>
            </w:pPr>
          </w:p>
        </w:tc>
      </w:tr>
      <w:tr w:rsidR="000E15B7" w:rsidRPr="00EC5748" w14:paraId="4AE19224" w14:textId="77777777" w:rsidTr="004E323E">
        <w:trPr>
          <w:trHeight w:val="288"/>
        </w:trPr>
        <w:tc>
          <w:tcPr>
            <w:tcW w:w="1985" w:type="dxa"/>
            <w:vMerge/>
            <w:tcBorders>
              <w:top w:val="nil"/>
              <w:left w:val="single" w:sz="4" w:space="0" w:color="auto"/>
              <w:right w:val="nil"/>
            </w:tcBorders>
            <w:vAlign w:val="center"/>
            <w:hideMark/>
          </w:tcPr>
          <w:p w14:paraId="6D0C6501"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0F8BCDAE"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015E387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275" w:type="dxa"/>
            <w:tcBorders>
              <w:top w:val="nil"/>
              <w:left w:val="nil"/>
              <w:bottom w:val="single" w:sz="4" w:space="0" w:color="auto"/>
              <w:right w:val="nil"/>
            </w:tcBorders>
            <w:noWrap/>
            <w:vAlign w:val="bottom"/>
            <w:hideMark/>
          </w:tcPr>
          <w:p w14:paraId="16AA210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418" w:type="dxa"/>
            <w:tcBorders>
              <w:top w:val="nil"/>
              <w:left w:val="nil"/>
              <w:bottom w:val="single" w:sz="4" w:space="0" w:color="auto"/>
              <w:right w:val="nil"/>
            </w:tcBorders>
            <w:noWrap/>
            <w:vAlign w:val="bottom"/>
            <w:hideMark/>
          </w:tcPr>
          <w:p w14:paraId="17C1C89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559" w:type="dxa"/>
            <w:tcBorders>
              <w:top w:val="nil"/>
              <w:left w:val="nil"/>
              <w:bottom w:val="single" w:sz="4" w:space="0" w:color="auto"/>
              <w:right w:val="nil"/>
            </w:tcBorders>
            <w:noWrap/>
            <w:vAlign w:val="bottom"/>
            <w:hideMark/>
          </w:tcPr>
          <w:p w14:paraId="0037F21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33,3</w:t>
            </w:r>
          </w:p>
        </w:tc>
        <w:tc>
          <w:tcPr>
            <w:tcW w:w="1843" w:type="dxa"/>
            <w:vMerge/>
            <w:tcBorders>
              <w:top w:val="nil"/>
              <w:left w:val="nil"/>
              <w:bottom w:val="single" w:sz="4" w:space="0" w:color="auto"/>
              <w:right w:val="single" w:sz="4" w:space="0" w:color="auto"/>
            </w:tcBorders>
            <w:vAlign w:val="center"/>
            <w:hideMark/>
          </w:tcPr>
          <w:p w14:paraId="7D4E961B" w14:textId="77777777" w:rsidR="000E15B7" w:rsidRPr="00EC5748" w:rsidRDefault="000E15B7" w:rsidP="00427297">
            <w:pPr>
              <w:jc w:val="center"/>
              <w:rPr>
                <w:rFonts w:eastAsia="Times New Roman"/>
                <w:color w:val="000000"/>
                <w:lang w:eastAsia="fr-CA"/>
              </w:rPr>
            </w:pPr>
          </w:p>
        </w:tc>
      </w:tr>
      <w:tr w:rsidR="000E15B7" w:rsidRPr="00EC5748" w14:paraId="35A1A58E" w14:textId="77777777" w:rsidTr="004E323E">
        <w:trPr>
          <w:trHeight w:val="288"/>
        </w:trPr>
        <w:tc>
          <w:tcPr>
            <w:tcW w:w="1985" w:type="dxa"/>
            <w:vMerge/>
            <w:tcBorders>
              <w:top w:val="nil"/>
              <w:left w:val="single" w:sz="4" w:space="0" w:color="auto"/>
              <w:right w:val="nil"/>
            </w:tcBorders>
            <w:vAlign w:val="center"/>
            <w:hideMark/>
          </w:tcPr>
          <w:p w14:paraId="4AB05727"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6A0C5878"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76AAE39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275" w:type="dxa"/>
            <w:tcBorders>
              <w:top w:val="nil"/>
              <w:left w:val="nil"/>
              <w:bottom w:val="single" w:sz="4" w:space="0" w:color="auto"/>
              <w:right w:val="nil"/>
            </w:tcBorders>
            <w:noWrap/>
            <w:vAlign w:val="bottom"/>
            <w:hideMark/>
          </w:tcPr>
          <w:p w14:paraId="14EAC6B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418" w:type="dxa"/>
            <w:tcBorders>
              <w:top w:val="nil"/>
              <w:left w:val="nil"/>
              <w:bottom w:val="single" w:sz="4" w:space="0" w:color="auto"/>
              <w:right w:val="nil"/>
            </w:tcBorders>
            <w:noWrap/>
            <w:vAlign w:val="bottom"/>
            <w:hideMark/>
          </w:tcPr>
          <w:p w14:paraId="0DD63BD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559" w:type="dxa"/>
            <w:tcBorders>
              <w:top w:val="nil"/>
              <w:left w:val="nil"/>
              <w:bottom w:val="single" w:sz="4" w:space="0" w:color="auto"/>
              <w:right w:val="nil"/>
            </w:tcBorders>
            <w:noWrap/>
            <w:vAlign w:val="bottom"/>
            <w:hideMark/>
          </w:tcPr>
          <w:p w14:paraId="6EC1728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33,3</w:t>
            </w:r>
          </w:p>
        </w:tc>
        <w:tc>
          <w:tcPr>
            <w:tcW w:w="1843" w:type="dxa"/>
            <w:tcBorders>
              <w:top w:val="single" w:sz="4" w:space="0" w:color="auto"/>
              <w:left w:val="nil"/>
              <w:bottom w:val="single" w:sz="4" w:space="0" w:color="auto"/>
              <w:right w:val="single" w:sz="4" w:space="0" w:color="auto"/>
            </w:tcBorders>
            <w:vAlign w:val="center"/>
            <w:hideMark/>
          </w:tcPr>
          <w:p w14:paraId="0E538854" w14:textId="4528D2D2"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6DFB02B9" w14:textId="77777777" w:rsidTr="004E323E">
        <w:trPr>
          <w:trHeight w:val="288"/>
        </w:trPr>
        <w:tc>
          <w:tcPr>
            <w:tcW w:w="1985" w:type="dxa"/>
            <w:vMerge/>
            <w:tcBorders>
              <w:top w:val="nil"/>
              <w:left w:val="single" w:sz="4" w:space="0" w:color="auto"/>
              <w:right w:val="nil"/>
            </w:tcBorders>
            <w:vAlign w:val="center"/>
            <w:hideMark/>
          </w:tcPr>
          <w:p w14:paraId="1559046B" w14:textId="77777777" w:rsidR="000E15B7" w:rsidRPr="00EC5748" w:rsidRDefault="000E15B7" w:rsidP="00EC5748">
            <w:pPr>
              <w:ind w:right="-70"/>
              <w:rPr>
                <w:rFonts w:eastAsia="Times New Roman"/>
                <w:i/>
                <w:iCs/>
                <w:color w:val="000000"/>
                <w:lang w:eastAsia="fr-CA"/>
              </w:rPr>
            </w:pPr>
          </w:p>
        </w:tc>
        <w:tc>
          <w:tcPr>
            <w:tcW w:w="1632" w:type="dxa"/>
            <w:vMerge w:val="restart"/>
            <w:tcBorders>
              <w:top w:val="nil"/>
              <w:left w:val="nil"/>
              <w:bottom w:val="single" w:sz="4" w:space="0" w:color="000000"/>
              <w:right w:val="nil"/>
            </w:tcBorders>
            <w:noWrap/>
            <w:vAlign w:val="center"/>
            <w:hideMark/>
          </w:tcPr>
          <w:p w14:paraId="130B297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Chaudière-Appalaches</w:t>
            </w:r>
          </w:p>
        </w:tc>
        <w:tc>
          <w:tcPr>
            <w:tcW w:w="1345" w:type="dxa"/>
            <w:tcBorders>
              <w:top w:val="nil"/>
              <w:left w:val="nil"/>
              <w:bottom w:val="single" w:sz="4" w:space="0" w:color="auto"/>
              <w:right w:val="nil"/>
            </w:tcBorders>
            <w:vAlign w:val="center"/>
            <w:hideMark/>
          </w:tcPr>
          <w:p w14:paraId="2E4223E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275" w:type="dxa"/>
            <w:tcBorders>
              <w:top w:val="nil"/>
              <w:left w:val="nil"/>
              <w:bottom w:val="single" w:sz="4" w:space="0" w:color="auto"/>
              <w:right w:val="nil"/>
            </w:tcBorders>
            <w:noWrap/>
            <w:vAlign w:val="center"/>
            <w:hideMark/>
          </w:tcPr>
          <w:p w14:paraId="3A6829D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33</w:t>
            </w:r>
          </w:p>
        </w:tc>
        <w:tc>
          <w:tcPr>
            <w:tcW w:w="1418" w:type="dxa"/>
            <w:tcBorders>
              <w:top w:val="nil"/>
              <w:left w:val="nil"/>
              <w:bottom w:val="single" w:sz="4" w:space="0" w:color="auto"/>
              <w:right w:val="nil"/>
            </w:tcBorders>
            <w:noWrap/>
            <w:vAlign w:val="center"/>
            <w:hideMark/>
          </w:tcPr>
          <w:p w14:paraId="4918E2A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20</w:t>
            </w:r>
          </w:p>
        </w:tc>
        <w:tc>
          <w:tcPr>
            <w:tcW w:w="1559" w:type="dxa"/>
            <w:tcBorders>
              <w:top w:val="nil"/>
              <w:left w:val="nil"/>
              <w:bottom w:val="single" w:sz="4" w:space="0" w:color="auto"/>
              <w:right w:val="nil"/>
            </w:tcBorders>
            <w:noWrap/>
            <w:vAlign w:val="center"/>
            <w:hideMark/>
          </w:tcPr>
          <w:p w14:paraId="5ABD306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60,6</w:t>
            </w:r>
          </w:p>
        </w:tc>
        <w:tc>
          <w:tcPr>
            <w:tcW w:w="1843" w:type="dxa"/>
            <w:vMerge w:val="restart"/>
            <w:tcBorders>
              <w:top w:val="single" w:sz="4" w:space="0" w:color="auto"/>
              <w:left w:val="nil"/>
              <w:bottom w:val="nil"/>
              <w:right w:val="single" w:sz="4" w:space="0" w:color="auto"/>
            </w:tcBorders>
            <w:noWrap/>
            <w:vAlign w:val="center"/>
            <w:hideMark/>
          </w:tcPr>
          <w:p w14:paraId="26F70802"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81,8</w:t>
            </w:r>
          </w:p>
        </w:tc>
      </w:tr>
      <w:tr w:rsidR="000E15B7" w:rsidRPr="00EC5748" w14:paraId="034C7190" w14:textId="77777777" w:rsidTr="004E323E">
        <w:trPr>
          <w:trHeight w:val="288"/>
        </w:trPr>
        <w:tc>
          <w:tcPr>
            <w:tcW w:w="1985" w:type="dxa"/>
            <w:vMerge/>
            <w:tcBorders>
              <w:top w:val="nil"/>
              <w:left w:val="single" w:sz="4" w:space="0" w:color="auto"/>
              <w:right w:val="nil"/>
            </w:tcBorders>
            <w:vAlign w:val="center"/>
            <w:hideMark/>
          </w:tcPr>
          <w:p w14:paraId="51A476C8"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2D6DAF00"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63DF4C6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275" w:type="dxa"/>
            <w:tcBorders>
              <w:top w:val="nil"/>
              <w:left w:val="nil"/>
              <w:bottom w:val="single" w:sz="4" w:space="0" w:color="auto"/>
              <w:right w:val="nil"/>
            </w:tcBorders>
            <w:noWrap/>
            <w:vAlign w:val="center"/>
            <w:hideMark/>
          </w:tcPr>
          <w:p w14:paraId="08829DC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33</w:t>
            </w:r>
          </w:p>
        </w:tc>
        <w:tc>
          <w:tcPr>
            <w:tcW w:w="1418" w:type="dxa"/>
            <w:tcBorders>
              <w:top w:val="nil"/>
              <w:left w:val="nil"/>
              <w:bottom w:val="single" w:sz="4" w:space="0" w:color="auto"/>
              <w:right w:val="nil"/>
            </w:tcBorders>
            <w:noWrap/>
            <w:vAlign w:val="center"/>
            <w:hideMark/>
          </w:tcPr>
          <w:p w14:paraId="15EBA20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18</w:t>
            </w:r>
          </w:p>
        </w:tc>
        <w:tc>
          <w:tcPr>
            <w:tcW w:w="1559" w:type="dxa"/>
            <w:tcBorders>
              <w:top w:val="nil"/>
              <w:left w:val="nil"/>
              <w:bottom w:val="single" w:sz="4" w:space="0" w:color="auto"/>
              <w:right w:val="nil"/>
            </w:tcBorders>
            <w:noWrap/>
            <w:vAlign w:val="center"/>
            <w:hideMark/>
          </w:tcPr>
          <w:p w14:paraId="0BB3AC0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54,5</w:t>
            </w:r>
          </w:p>
        </w:tc>
        <w:tc>
          <w:tcPr>
            <w:tcW w:w="1843" w:type="dxa"/>
            <w:vMerge/>
            <w:tcBorders>
              <w:top w:val="nil"/>
              <w:left w:val="nil"/>
              <w:bottom w:val="nil"/>
              <w:right w:val="single" w:sz="4" w:space="0" w:color="auto"/>
            </w:tcBorders>
            <w:vAlign w:val="center"/>
            <w:hideMark/>
          </w:tcPr>
          <w:p w14:paraId="06DA6474" w14:textId="77777777" w:rsidR="000E15B7" w:rsidRPr="00EC5748" w:rsidRDefault="000E15B7" w:rsidP="00427297">
            <w:pPr>
              <w:jc w:val="center"/>
              <w:rPr>
                <w:rFonts w:eastAsia="Times New Roman"/>
                <w:color w:val="000000"/>
                <w:lang w:eastAsia="fr-CA"/>
              </w:rPr>
            </w:pPr>
          </w:p>
        </w:tc>
      </w:tr>
      <w:tr w:rsidR="000E15B7" w:rsidRPr="00EC5748" w14:paraId="3D3DE3A4" w14:textId="77777777" w:rsidTr="004E323E">
        <w:trPr>
          <w:trHeight w:val="288"/>
        </w:trPr>
        <w:tc>
          <w:tcPr>
            <w:tcW w:w="1985" w:type="dxa"/>
            <w:vMerge/>
            <w:tcBorders>
              <w:top w:val="nil"/>
              <w:left w:val="single" w:sz="4" w:space="0" w:color="auto"/>
              <w:right w:val="nil"/>
            </w:tcBorders>
            <w:vAlign w:val="center"/>
            <w:hideMark/>
          </w:tcPr>
          <w:p w14:paraId="26AD565D"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62D6F857" w14:textId="77777777" w:rsidR="000E15B7" w:rsidRPr="00EC5748" w:rsidRDefault="000E15B7" w:rsidP="00EC5748">
            <w:pPr>
              <w:rPr>
                <w:rFonts w:eastAsia="Times New Roman"/>
                <w:color w:val="000000"/>
                <w:lang w:eastAsia="fr-CA"/>
              </w:rPr>
            </w:pPr>
          </w:p>
        </w:tc>
        <w:tc>
          <w:tcPr>
            <w:tcW w:w="1345" w:type="dxa"/>
            <w:tcBorders>
              <w:top w:val="nil"/>
              <w:left w:val="nil"/>
              <w:bottom w:val="nil"/>
              <w:right w:val="nil"/>
            </w:tcBorders>
            <w:vAlign w:val="center"/>
            <w:hideMark/>
          </w:tcPr>
          <w:p w14:paraId="6C02082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275" w:type="dxa"/>
            <w:tcBorders>
              <w:top w:val="nil"/>
              <w:left w:val="nil"/>
              <w:bottom w:val="nil"/>
              <w:right w:val="nil"/>
            </w:tcBorders>
            <w:noWrap/>
            <w:vAlign w:val="center"/>
            <w:hideMark/>
          </w:tcPr>
          <w:p w14:paraId="2500C01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33</w:t>
            </w:r>
          </w:p>
        </w:tc>
        <w:tc>
          <w:tcPr>
            <w:tcW w:w="1418" w:type="dxa"/>
            <w:tcBorders>
              <w:top w:val="nil"/>
              <w:left w:val="nil"/>
              <w:bottom w:val="nil"/>
              <w:right w:val="nil"/>
            </w:tcBorders>
            <w:noWrap/>
            <w:vAlign w:val="center"/>
            <w:hideMark/>
          </w:tcPr>
          <w:p w14:paraId="28D674C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20</w:t>
            </w:r>
          </w:p>
        </w:tc>
        <w:tc>
          <w:tcPr>
            <w:tcW w:w="1559" w:type="dxa"/>
            <w:tcBorders>
              <w:top w:val="nil"/>
              <w:left w:val="nil"/>
              <w:bottom w:val="nil"/>
              <w:right w:val="nil"/>
            </w:tcBorders>
            <w:noWrap/>
            <w:vAlign w:val="center"/>
            <w:hideMark/>
          </w:tcPr>
          <w:p w14:paraId="464B774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60,6</w:t>
            </w:r>
          </w:p>
        </w:tc>
        <w:tc>
          <w:tcPr>
            <w:tcW w:w="1843" w:type="dxa"/>
            <w:vMerge/>
            <w:tcBorders>
              <w:top w:val="nil"/>
              <w:left w:val="nil"/>
              <w:bottom w:val="nil"/>
              <w:right w:val="single" w:sz="4" w:space="0" w:color="auto"/>
            </w:tcBorders>
            <w:vAlign w:val="center"/>
            <w:hideMark/>
          </w:tcPr>
          <w:p w14:paraId="582C797F" w14:textId="77777777" w:rsidR="000E15B7" w:rsidRPr="00EC5748" w:rsidRDefault="000E15B7" w:rsidP="00427297">
            <w:pPr>
              <w:jc w:val="center"/>
              <w:rPr>
                <w:rFonts w:eastAsia="Times New Roman"/>
                <w:color w:val="000000"/>
                <w:lang w:eastAsia="fr-CA"/>
              </w:rPr>
            </w:pPr>
          </w:p>
        </w:tc>
      </w:tr>
      <w:tr w:rsidR="000E15B7" w:rsidRPr="00EC5748" w14:paraId="378F9B7C" w14:textId="77777777" w:rsidTr="004E323E">
        <w:trPr>
          <w:trHeight w:val="288"/>
        </w:trPr>
        <w:tc>
          <w:tcPr>
            <w:tcW w:w="1985" w:type="dxa"/>
            <w:vMerge/>
            <w:tcBorders>
              <w:top w:val="nil"/>
              <w:left w:val="single" w:sz="4" w:space="0" w:color="auto"/>
              <w:right w:val="nil"/>
            </w:tcBorders>
            <w:vAlign w:val="center"/>
            <w:hideMark/>
          </w:tcPr>
          <w:p w14:paraId="0A52D0A4"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261AD0B0" w14:textId="77777777" w:rsidR="000E15B7" w:rsidRPr="00EC5748" w:rsidRDefault="000E15B7" w:rsidP="00EC5748">
            <w:pPr>
              <w:rPr>
                <w:rFonts w:eastAsia="Times New Roman"/>
                <w:color w:val="000000"/>
                <w:lang w:eastAsia="fr-CA"/>
              </w:rPr>
            </w:pPr>
          </w:p>
        </w:tc>
        <w:tc>
          <w:tcPr>
            <w:tcW w:w="1345" w:type="dxa"/>
            <w:tcBorders>
              <w:top w:val="nil"/>
              <w:left w:val="nil"/>
              <w:bottom w:val="nil"/>
              <w:right w:val="nil"/>
            </w:tcBorders>
            <w:vAlign w:val="center"/>
            <w:hideMark/>
          </w:tcPr>
          <w:p w14:paraId="6DC4B0B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275" w:type="dxa"/>
            <w:tcBorders>
              <w:top w:val="nil"/>
              <w:left w:val="nil"/>
              <w:bottom w:val="nil"/>
              <w:right w:val="nil"/>
            </w:tcBorders>
            <w:noWrap/>
            <w:vAlign w:val="center"/>
            <w:hideMark/>
          </w:tcPr>
          <w:p w14:paraId="2DBD942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33</w:t>
            </w:r>
          </w:p>
        </w:tc>
        <w:tc>
          <w:tcPr>
            <w:tcW w:w="1418" w:type="dxa"/>
            <w:tcBorders>
              <w:top w:val="nil"/>
              <w:left w:val="nil"/>
              <w:bottom w:val="nil"/>
              <w:right w:val="nil"/>
            </w:tcBorders>
            <w:noWrap/>
            <w:vAlign w:val="center"/>
            <w:hideMark/>
          </w:tcPr>
          <w:p w14:paraId="5CE9BDA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15</w:t>
            </w:r>
          </w:p>
        </w:tc>
        <w:tc>
          <w:tcPr>
            <w:tcW w:w="1559" w:type="dxa"/>
            <w:tcBorders>
              <w:top w:val="nil"/>
              <w:left w:val="nil"/>
              <w:bottom w:val="nil"/>
              <w:right w:val="nil"/>
            </w:tcBorders>
            <w:noWrap/>
            <w:vAlign w:val="center"/>
            <w:hideMark/>
          </w:tcPr>
          <w:p w14:paraId="0E1D00C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45,5</w:t>
            </w:r>
          </w:p>
        </w:tc>
        <w:tc>
          <w:tcPr>
            <w:tcW w:w="1843" w:type="dxa"/>
            <w:vMerge/>
            <w:tcBorders>
              <w:top w:val="nil"/>
              <w:left w:val="nil"/>
              <w:bottom w:val="single" w:sz="4" w:space="0" w:color="auto"/>
              <w:right w:val="single" w:sz="4" w:space="0" w:color="auto"/>
            </w:tcBorders>
            <w:vAlign w:val="center"/>
            <w:hideMark/>
          </w:tcPr>
          <w:p w14:paraId="09B31DEC" w14:textId="77777777" w:rsidR="000E15B7" w:rsidRPr="00EC5748" w:rsidRDefault="000E15B7" w:rsidP="00427297">
            <w:pPr>
              <w:jc w:val="center"/>
              <w:rPr>
                <w:rFonts w:eastAsia="Times New Roman"/>
                <w:color w:val="000000"/>
                <w:lang w:eastAsia="fr-CA"/>
              </w:rPr>
            </w:pPr>
          </w:p>
        </w:tc>
      </w:tr>
      <w:tr w:rsidR="000E15B7" w:rsidRPr="00EC5748" w14:paraId="4E6992F3" w14:textId="77777777" w:rsidTr="004E323E">
        <w:trPr>
          <w:trHeight w:val="288"/>
        </w:trPr>
        <w:tc>
          <w:tcPr>
            <w:tcW w:w="1985" w:type="dxa"/>
            <w:vMerge/>
            <w:tcBorders>
              <w:top w:val="nil"/>
              <w:left w:val="single" w:sz="4" w:space="0" w:color="auto"/>
              <w:right w:val="nil"/>
            </w:tcBorders>
            <w:vAlign w:val="center"/>
            <w:hideMark/>
          </w:tcPr>
          <w:p w14:paraId="1B4CB918"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69658769" w14:textId="77777777" w:rsidR="000E15B7" w:rsidRPr="00EC5748" w:rsidRDefault="000E15B7" w:rsidP="00EC5748">
            <w:pPr>
              <w:rPr>
                <w:rFonts w:eastAsia="Times New Roman"/>
                <w:color w:val="000000"/>
                <w:lang w:eastAsia="fr-CA"/>
              </w:rPr>
            </w:pPr>
          </w:p>
        </w:tc>
        <w:tc>
          <w:tcPr>
            <w:tcW w:w="1345" w:type="dxa"/>
            <w:tcBorders>
              <w:top w:val="single" w:sz="4" w:space="0" w:color="auto"/>
              <w:left w:val="nil"/>
              <w:bottom w:val="single" w:sz="4" w:space="0" w:color="auto"/>
              <w:right w:val="nil"/>
            </w:tcBorders>
            <w:vAlign w:val="center"/>
            <w:hideMark/>
          </w:tcPr>
          <w:p w14:paraId="7708C21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275" w:type="dxa"/>
            <w:tcBorders>
              <w:top w:val="single" w:sz="4" w:space="0" w:color="auto"/>
              <w:left w:val="nil"/>
              <w:bottom w:val="single" w:sz="4" w:space="0" w:color="auto"/>
              <w:right w:val="nil"/>
            </w:tcBorders>
            <w:noWrap/>
            <w:vAlign w:val="center"/>
            <w:hideMark/>
          </w:tcPr>
          <w:p w14:paraId="260B3C0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33</w:t>
            </w:r>
          </w:p>
        </w:tc>
        <w:tc>
          <w:tcPr>
            <w:tcW w:w="1418" w:type="dxa"/>
            <w:tcBorders>
              <w:top w:val="single" w:sz="4" w:space="0" w:color="auto"/>
              <w:left w:val="nil"/>
              <w:bottom w:val="single" w:sz="4" w:space="0" w:color="auto"/>
              <w:right w:val="nil"/>
            </w:tcBorders>
            <w:noWrap/>
            <w:vAlign w:val="center"/>
            <w:hideMark/>
          </w:tcPr>
          <w:p w14:paraId="180BD26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14</w:t>
            </w:r>
          </w:p>
        </w:tc>
        <w:tc>
          <w:tcPr>
            <w:tcW w:w="1559" w:type="dxa"/>
            <w:tcBorders>
              <w:top w:val="single" w:sz="4" w:space="0" w:color="auto"/>
              <w:left w:val="nil"/>
              <w:bottom w:val="single" w:sz="4" w:space="0" w:color="auto"/>
              <w:right w:val="nil"/>
            </w:tcBorders>
            <w:noWrap/>
            <w:vAlign w:val="center"/>
            <w:hideMark/>
          </w:tcPr>
          <w:p w14:paraId="1893BA2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42,4</w:t>
            </w:r>
          </w:p>
        </w:tc>
        <w:tc>
          <w:tcPr>
            <w:tcW w:w="1843" w:type="dxa"/>
            <w:tcBorders>
              <w:top w:val="single" w:sz="4" w:space="0" w:color="auto"/>
              <w:left w:val="nil"/>
              <w:bottom w:val="single" w:sz="4" w:space="0" w:color="auto"/>
              <w:right w:val="single" w:sz="4" w:space="0" w:color="auto"/>
            </w:tcBorders>
            <w:vAlign w:val="center"/>
            <w:hideMark/>
          </w:tcPr>
          <w:p w14:paraId="7658F986" w14:textId="78B070E5"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1C3BC92C" w14:textId="77777777" w:rsidTr="004E323E">
        <w:trPr>
          <w:trHeight w:val="288"/>
        </w:trPr>
        <w:tc>
          <w:tcPr>
            <w:tcW w:w="1985" w:type="dxa"/>
            <w:vMerge/>
            <w:tcBorders>
              <w:top w:val="nil"/>
              <w:left w:val="single" w:sz="4" w:space="0" w:color="auto"/>
              <w:right w:val="nil"/>
            </w:tcBorders>
            <w:vAlign w:val="center"/>
            <w:hideMark/>
          </w:tcPr>
          <w:p w14:paraId="43374520" w14:textId="77777777" w:rsidR="000E15B7" w:rsidRPr="00EC5748" w:rsidRDefault="000E15B7" w:rsidP="00EC5748">
            <w:pPr>
              <w:ind w:right="-70"/>
              <w:rPr>
                <w:rFonts w:eastAsia="Times New Roman"/>
                <w:i/>
                <w:iCs/>
                <w:color w:val="000000"/>
                <w:lang w:eastAsia="fr-CA"/>
              </w:rPr>
            </w:pPr>
          </w:p>
        </w:tc>
        <w:tc>
          <w:tcPr>
            <w:tcW w:w="1632" w:type="dxa"/>
            <w:vMerge w:val="restart"/>
            <w:tcBorders>
              <w:top w:val="nil"/>
              <w:left w:val="nil"/>
              <w:bottom w:val="single" w:sz="4" w:space="0" w:color="000000"/>
              <w:right w:val="nil"/>
            </w:tcBorders>
            <w:noWrap/>
            <w:vAlign w:val="center"/>
            <w:hideMark/>
          </w:tcPr>
          <w:p w14:paraId="3A63B617" w14:textId="448ABBB0" w:rsidR="000E15B7" w:rsidRPr="00EC5748" w:rsidRDefault="000E15B7" w:rsidP="00EC5748">
            <w:pPr>
              <w:jc w:val="center"/>
              <w:rPr>
                <w:rFonts w:eastAsia="Times New Roman"/>
                <w:color w:val="000000"/>
                <w:lang w:eastAsia="fr-CA"/>
              </w:rPr>
            </w:pPr>
            <w:r w:rsidRPr="00EC5748">
              <w:rPr>
                <w:rFonts w:eastAsia="Times New Roman"/>
                <w:color w:val="000000"/>
                <w:lang w:eastAsia="fr-CA"/>
              </w:rPr>
              <w:t>Centre</w:t>
            </w:r>
            <w:r w:rsidR="00EC7D82">
              <w:rPr>
                <w:rFonts w:eastAsia="Times New Roman"/>
                <w:color w:val="000000"/>
                <w:lang w:eastAsia="fr-CA"/>
              </w:rPr>
              <w:t>-</w:t>
            </w:r>
            <w:r w:rsidRPr="00EC5748">
              <w:rPr>
                <w:rFonts w:eastAsia="Times New Roman"/>
                <w:color w:val="000000"/>
                <w:lang w:eastAsia="fr-CA"/>
              </w:rPr>
              <w:t>du</w:t>
            </w:r>
            <w:r w:rsidR="00EC7D82">
              <w:rPr>
                <w:rFonts w:eastAsia="Times New Roman"/>
                <w:color w:val="000000"/>
                <w:lang w:eastAsia="fr-CA"/>
              </w:rPr>
              <w:t>-</w:t>
            </w:r>
            <w:r w:rsidRPr="00EC5748">
              <w:rPr>
                <w:rFonts w:eastAsia="Times New Roman"/>
                <w:color w:val="000000"/>
                <w:lang w:eastAsia="fr-CA"/>
              </w:rPr>
              <w:t>Québec</w:t>
            </w:r>
          </w:p>
        </w:tc>
        <w:tc>
          <w:tcPr>
            <w:tcW w:w="1345" w:type="dxa"/>
            <w:tcBorders>
              <w:top w:val="nil"/>
              <w:left w:val="nil"/>
              <w:bottom w:val="nil"/>
              <w:right w:val="nil"/>
            </w:tcBorders>
            <w:vAlign w:val="center"/>
            <w:hideMark/>
          </w:tcPr>
          <w:p w14:paraId="1E4D658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275" w:type="dxa"/>
            <w:tcBorders>
              <w:top w:val="nil"/>
              <w:left w:val="nil"/>
              <w:bottom w:val="nil"/>
              <w:right w:val="nil"/>
            </w:tcBorders>
            <w:noWrap/>
            <w:vAlign w:val="center"/>
            <w:hideMark/>
          </w:tcPr>
          <w:p w14:paraId="1A3D99D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w:t>
            </w:r>
          </w:p>
        </w:tc>
        <w:tc>
          <w:tcPr>
            <w:tcW w:w="1418" w:type="dxa"/>
            <w:tcBorders>
              <w:top w:val="nil"/>
              <w:left w:val="nil"/>
              <w:bottom w:val="nil"/>
              <w:right w:val="nil"/>
            </w:tcBorders>
            <w:noWrap/>
            <w:vAlign w:val="center"/>
            <w:hideMark/>
          </w:tcPr>
          <w:p w14:paraId="484432E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559" w:type="dxa"/>
            <w:tcBorders>
              <w:top w:val="nil"/>
              <w:left w:val="nil"/>
              <w:bottom w:val="nil"/>
              <w:right w:val="nil"/>
            </w:tcBorders>
            <w:noWrap/>
            <w:vAlign w:val="center"/>
            <w:hideMark/>
          </w:tcPr>
          <w:p w14:paraId="7B61F20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60</w:t>
            </w:r>
          </w:p>
        </w:tc>
        <w:tc>
          <w:tcPr>
            <w:tcW w:w="1843" w:type="dxa"/>
            <w:vMerge w:val="restart"/>
            <w:tcBorders>
              <w:top w:val="single" w:sz="4" w:space="0" w:color="auto"/>
              <w:left w:val="nil"/>
              <w:bottom w:val="nil"/>
              <w:right w:val="single" w:sz="4" w:space="0" w:color="auto"/>
            </w:tcBorders>
            <w:noWrap/>
            <w:vAlign w:val="center"/>
            <w:hideMark/>
          </w:tcPr>
          <w:p w14:paraId="778DF6A3"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70</w:t>
            </w:r>
          </w:p>
        </w:tc>
      </w:tr>
      <w:tr w:rsidR="000E15B7" w:rsidRPr="00EC5748" w14:paraId="40A7B9B5" w14:textId="77777777" w:rsidTr="004E323E">
        <w:trPr>
          <w:trHeight w:val="288"/>
        </w:trPr>
        <w:tc>
          <w:tcPr>
            <w:tcW w:w="1985" w:type="dxa"/>
            <w:vMerge/>
            <w:tcBorders>
              <w:top w:val="nil"/>
              <w:left w:val="single" w:sz="4" w:space="0" w:color="auto"/>
              <w:right w:val="nil"/>
            </w:tcBorders>
            <w:vAlign w:val="center"/>
            <w:hideMark/>
          </w:tcPr>
          <w:p w14:paraId="3CA15D80"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158CBA0A" w14:textId="77777777" w:rsidR="000E15B7" w:rsidRPr="00EC5748" w:rsidRDefault="000E15B7" w:rsidP="00EC5748">
            <w:pPr>
              <w:rPr>
                <w:rFonts w:eastAsia="Times New Roman"/>
                <w:color w:val="000000"/>
                <w:lang w:eastAsia="fr-CA"/>
              </w:rPr>
            </w:pPr>
          </w:p>
        </w:tc>
        <w:tc>
          <w:tcPr>
            <w:tcW w:w="1345" w:type="dxa"/>
            <w:tcBorders>
              <w:top w:val="single" w:sz="4" w:space="0" w:color="auto"/>
              <w:left w:val="nil"/>
              <w:bottom w:val="single" w:sz="4" w:space="0" w:color="auto"/>
              <w:right w:val="nil"/>
            </w:tcBorders>
            <w:vAlign w:val="center"/>
            <w:hideMark/>
          </w:tcPr>
          <w:p w14:paraId="52C9D07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275" w:type="dxa"/>
            <w:tcBorders>
              <w:top w:val="single" w:sz="4" w:space="0" w:color="auto"/>
              <w:left w:val="nil"/>
              <w:bottom w:val="single" w:sz="4" w:space="0" w:color="auto"/>
              <w:right w:val="nil"/>
            </w:tcBorders>
            <w:noWrap/>
            <w:vAlign w:val="center"/>
            <w:hideMark/>
          </w:tcPr>
          <w:p w14:paraId="2350813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w:t>
            </w:r>
          </w:p>
        </w:tc>
        <w:tc>
          <w:tcPr>
            <w:tcW w:w="1418" w:type="dxa"/>
            <w:tcBorders>
              <w:top w:val="single" w:sz="4" w:space="0" w:color="auto"/>
              <w:left w:val="nil"/>
              <w:bottom w:val="single" w:sz="4" w:space="0" w:color="auto"/>
              <w:right w:val="nil"/>
            </w:tcBorders>
            <w:noWrap/>
            <w:vAlign w:val="center"/>
            <w:hideMark/>
          </w:tcPr>
          <w:p w14:paraId="6278DB3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559" w:type="dxa"/>
            <w:tcBorders>
              <w:top w:val="single" w:sz="4" w:space="0" w:color="auto"/>
              <w:left w:val="nil"/>
              <w:bottom w:val="single" w:sz="4" w:space="0" w:color="auto"/>
              <w:right w:val="nil"/>
            </w:tcBorders>
            <w:noWrap/>
            <w:vAlign w:val="center"/>
            <w:hideMark/>
          </w:tcPr>
          <w:p w14:paraId="517F93F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70</w:t>
            </w:r>
          </w:p>
        </w:tc>
        <w:tc>
          <w:tcPr>
            <w:tcW w:w="1843" w:type="dxa"/>
            <w:vMerge/>
            <w:tcBorders>
              <w:top w:val="nil"/>
              <w:left w:val="nil"/>
              <w:bottom w:val="nil"/>
              <w:right w:val="single" w:sz="4" w:space="0" w:color="auto"/>
            </w:tcBorders>
            <w:vAlign w:val="center"/>
            <w:hideMark/>
          </w:tcPr>
          <w:p w14:paraId="265C5EA5" w14:textId="77777777" w:rsidR="000E15B7" w:rsidRPr="00EC5748" w:rsidRDefault="000E15B7" w:rsidP="00427297">
            <w:pPr>
              <w:jc w:val="center"/>
              <w:rPr>
                <w:rFonts w:eastAsia="Times New Roman"/>
                <w:color w:val="000000"/>
                <w:lang w:eastAsia="fr-CA"/>
              </w:rPr>
            </w:pPr>
          </w:p>
        </w:tc>
      </w:tr>
      <w:tr w:rsidR="000E15B7" w:rsidRPr="00EC5748" w14:paraId="52727568" w14:textId="77777777" w:rsidTr="004E323E">
        <w:trPr>
          <w:trHeight w:val="288"/>
        </w:trPr>
        <w:tc>
          <w:tcPr>
            <w:tcW w:w="1985" w:type="dxa"/>
            <w:vMerge/>
            <w:tcBorders>
              <w:top w:val="nil"/>
              <w:left w:val="single" w:sz="4" w:space="0" w:color="auto"/>
              <w:right w:val="nil"/>
            </w:tcBorders>
            <w:vAlign w:val="center"/>
            <w:hideMark/>
          </w:tcPr>
          <w:p w14:paraId="7D8C1F74"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039FA905"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1F23CC4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275" w:type="dxa"/>
            <w:tcBorders>
              <w:top w:val="nil"/>
              <w:left w:val="nil"/>
              <w:bottom w:val="single" w:sz="4" w:space="0" w:color="auto"/>
              <w:right w:val="nil"/>
            </w:tcBorders>
            <w:noWrap/>
            <w:vAlign w:val="center"/>
            <w:hideMark/>
          </w:tcPr>
          <w:p w14:paraId="3B619B9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w:t>
            </w:r>
          </w:p>
        </w:tc>
        <w:tc>
          <w:tcPr>
            <w:tcW w:w="1418" w:type="dxa"/>
            <w:tcBorders>
              <w:top w:val="nil"/>
              <w:left w:val="nil"/>
              <w:bottom w:val="single" w:sz="4" w:space="0" w:color="auto"/>
              <w:right w:val="nil"/>
            </w:tcBorders>
            <w:noWrap/>
            <w:vAlign w:val="center"/>
            <w:hideMark/>
          </w:tcPr>
          <w:p w14:paraId="2A9B904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559" w:type="dxa"/>
            <w:tcBorders>
              <w:top w:val="nil"/>
              <w:left w:val="nil"/>
              <w:bottom w:val="single" w:sz="4" w:space="0" w:color="auto"/>
              <w:right w:val="nil"/>
            </w:tcBorders>
            <w:noWrap/>
            <w:vAlign w:val="center"/>
            <w:hideMark/>
          </w:tcPr>
          <w:p w14:paraId="2CF9ECA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70</w:t>
            </w:r>
          </w:p>
        </w:tc>
        <w:tc>
          <w:tcPr>
            <w:tcW w:w="1843" w:type="dxa"/>
            <w:vMerge/>
            <w:tcBorders>
              <w:top w:val="nil"/>
              <w:left w:val="nil"/>
              <w:bottom w:val="nil"/>
              <w:right w:val="single" w:sz="4" w:space="0" w:color="auto"/>
            </w:tcBorders>
            <w:vAlign w:val="center"/>
            <w:hideMark/>
          </w:tcPr>
          <w:p w14:paraId="0AF775E4" w14:textId="77777777" w:rsidR="000E15B7" w:rsidRPr="00EC5748" w:rsidRDefault="000E15B7" w:rsidP="00427297">
            <w:pPr>
              <w:jc w:val="center"/>
              <w:rPr>
                <w:rFonts w:eastAsia="Times New Roman"/>
                <w:color w:val="000000"/>
                <w:lang w:eastAsia="fr-CA"/>
              </w:rPr>
            </w:pPr>
          </w:p>
        </w:tc>
      </w:tr>
      <w:tr w:rsidR="000E15B7" w:rsidRPr="00EC5748" w14:paraId="5DD3BCBA" w14:textId="77777777" w:rsidTr="004E323E">
        <w:trPr>
          <w:trHeight w:val="288"/>
        </w:trPr>
        <w:tc>
          <w:tcPr>
            <w:tcW w:w="1985" w:type="dxa"/>
            <w:vMerge/>
            <w:tcBorders>
              <w:top w:val="nil"/>
              <w:left w:val="single" w:sz="4" w:space="0" w:color="auto"/>
              <w:right w:val="nil"/>
            </w:tcBorders>
            <w:vAlign w:val="center"/>
            <w:hideMark/>
          </w:tcPr>
          <w:p w14:paraId="0C0EFEDC"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3653FCDD"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4F1873F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275" w:type="dxa"/>
            <w:tcBorders>
              <w:top w:val="nil"/>
              <w:left w:val="nil"/>
              <w:bottom w:val="single" w:sz="4" w:space="0" w:color="auto"/>
              <w:right w:val="nil"/>
            </w:tcBorders>
            <w:noWrap/>
            <w:vAlign w:val="center"/>
            <w:hideMark/>
          </w:tcPr>
          <w:p w14:paraId="7824AD3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w:t>
            </w:r>
          </w:p>
        </w:tc>
        <w:tc>
          <w:tcPr>
            <w:tcW w:w="1418" w:type="dxa"/>
            <w:tcBorders>
              <w:top w:val="nil"/>
              <w:left w:val="nil"/>
              <w:bottom w:val="single" w:sz="4" w:space="0" w:color="auto"/>
              <w:right w:val="nil"/>
            </w:tcBorders>
            <w:noWrap/>
            <w:vAlign w:val="center"/>
            <w:hideMark/>
          </w:tcPr>
          <w:p w14:paraId="3216919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w:t>
            </w:r>
          </w:p>
        </w:tc>
        <w:tc>
          <w:tcPr>
            <w:tcW w:w="1559" w:type="dxa"/>
            <w:tcBorders>
              <w:top w:val="nil"/>
              <w:left w:val="nil"/>
              <w:bottom w:val="single" w:sz="4" w:space="0" w:color="auto"/>
              <w:right w:val="nil"/>
            </w:tcBorders>
            <w:noWrap/>
            <w:vAlign w:val="center"/>
            <w:hideMark/>
          </w:tcPr>
          <w:p w14:paraId="26DD248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40</w:t>
            </w:r>
          </w:p>
        </w:tc>
        <w:tc>
          <w:tcPr>
            <w:tcW w:w="1843" w:type="dxa"/>
            <w:vMerge/>
            <w:tcBorders>
              <w:top w:val="nil"/>
              <w:left w:val="nil"/>
              <w:bottom w:val="single" w:sz="4" w:space="0" w:color="auto"/>
              <w:right w:val="single" w:sz="4" w:space="0" w:color="auto"/>
            </w:tcBorders>
            <w:vAlign w:val="center"/>
            <w:hideMark/>
          </w:tcPr>
          <w:p w14:paraId="0CCE34FE" w14:textId="77777777" w:rsidR="000E15B7" w:rsidRPr="00EC5748" w:rsidRDefault="000E15B7" w:rsidP="00427297">
            <w:pPr>
              <w:jc w:val="center"/>
              <w:rPr>
                <w:rFonts w:eastAsia="Times New Roman"/>
                <w:color w:val="000000"/>
                <w:lang w:eastAsia="fr-CA"/>
              </w:rPr>
            </w:pPr>
          </w:p>
        </w:tc>
      </w:tr>
      <w:tr w:rsidR="000E15B7" w:rsidRPr="00EC5748" w14:paraId="19996F5A" w14:textId="77777777" w:rsidTr="004E323E">
        <w:trPr>
          <w:trHeight w:val="288"/>
        </w:trPr>
        <w:tc>
          <w:tcPr>
            <w:tcW w:w="1985" w:type="dxa"/>
            <w:vMerge/>
            <w:tcBorders>
              <w:top w:val="nil"/>
              <w:left w:val="single" w:sz="4" w:space="0" w:color="auto"/>
              <w:right w:val="nil"/>
            </w:tcBorders>
            <w:vAlign w:val="center"/>
            <w:hideMark/>
          </w:tcPr>
          <w:p w14:paraId="1EFC1E37"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491FD402"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65153B1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275" w:type="dxa"/>
            <w:tcBorders>
              <w:top w:val="nil"/>
              <w:left w:val="nil"/>
              <w:bottom w:val="single" w:sz="4" w:space="0" w:color="auto"/>
              <w:right w:val="nil"/>
            </w:tcBorders>
            <w:noWrap/>
            <w:vAlign w:val="center"/>
            <w:hideMark/>
          </w:tcPr>
          <w:p w14:paraId="7A8A11C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w:t>
            </w:r>
          </w:p>
        </w:tc>
        <w:tc>
          <w:tcPr>
            <w:tcW w:w="1418" w:type="dxa"/>
            <w:tcBorders>
              <w:top w:val="nil"/>
              <w:left w:val="nil"/>
              <w:bottom w:val="single" w:sz="4" w:space="0" w:color="auto"/>
              <w:right w:val="nil"/>
            </w:tcBorders>
            <w:noWrap/>
            <w:vAlign w:val="center"/>
            <w:hideMark/>
          </w:tcPr>
          <w:p w14:paraId="1DD86F8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w:t>
            </w:r>
          </w:p>
        </w:tc>
        <w:tc>
          <w:tcPr>
            <w:tcW w:w="1559" w:type="dxa"/>
            <w:tcBorders>
              <w:top w:val="nil"/>
              <w:left w:val="nil"/>
              <w:bottom w:val="single" w:sz="4" w:space="0" w:color="auto"/>
              <w:right w:val="nil"/>
            </w:tcBorders>
            <w:noWrap/>
            <w:vAlign w:val="center"/>
            <w:hideMark/>
          </w:tcPr>
          <w:p w14:paraId="133C956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40</w:t>
            </w:r>
          </w:p>
        </w:tc>
        <w:tc>
          <w:tcPr>
            <w:tcW w:w="1843" w:type="dxa"/>
            <w:tcBorders>
              <w:top w:val="single" w:sz="4" w:space="0" w:color="auto"/>
              <w:left w:val="nil"/>
              <w:bottom w:val="single" w:sz="4" w:space="0" w:color="auto"/>
              <w:right w:val="single" w:sz="4" w:space="0" w:color="auto"/>
            </w:tcBorders>
            <w:vAlign w:val="center"/>
            <w:hideMark/>
          </w:tcPr>
          <w:p w14:paraId="163C125E" w14:textId="397AFDB9"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0EEB7D40" w14:textId="77777777" w:rsidTr="004E323E">
        <w:trPr>
          <w:trHeight w:val="288"/>
        </w:trPr>
        <w:tc>
          <w:tcPr>
            <w:tcW w:w="1985" w:type="dxa"/>
            <w:vMerge/>
            <w:tcBorders>
              <w:top w:val="nil"/>
              <w:left w:val="single" w:sz="4" w:space="0" w:color="auto"/>
              <w:right w:val="nil"/>
            </w:tcBorders>
            <w:vAlign w:val="center"/>
            <w:hideMark/>
          </w:tcPr>
          <w:p w14:paraId="2E5182F3" w14:textId="77777777" w:rsidR="000E15B7" w:rsidRPr="00EC5748" w:rsidRDefault="000E15B7" w:rsidP="00EC5748">
            <w:pPr>
              <w:ind w:right="-70"/>
              <w:rPr>
                <w:rFonts w:eastAsia="Times New Roman"/>
                <w:i/>
                <w:iCs/>
                <w:color w:val="000000"/>
                <w:lang w:eastAsia="fr-CA"/>
              </w:rPr>
            </w:pPr>
          </w:p>
        </w:tc>
        <w:tc>
          <w:tcPr>
            <w:tcW w:w="1632" w:type="dxa"/>
            <w:vMerge w:val="restart"/>
            <w:tcBorders>
              <w:top w:val="nil"/>
              <w:left w:val="nil"/>
              <w:bottom w:val="single" w:sz="4" w:space="0" w:color="000000"/>
              <w:right w:val="nil"/>
            </w:tcBorders>
            <w:noWrap/>
            <w:vAlign w:val="center"/>
            <w:hideMark/>
          </w:tcPr>
          <w:p w14:paraId="0819610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Estrie</w:t>
            </w:r>
          </w:p>
        </w:tc>
        <w:tc>
          <w:tcPr>
            <w:tcW w:w="1345" w:type="dxa"/>
            <w:tcBorders>
              <w:top w:val="nil"/>
              <w:left w:val="nil"/>
              <w:bottom w:val="single" w:sz="4" w:space="0" w:color="auto"/>
              <w:right w:val="nil"/>
            </w:tcBorders>
            <w:vAlign w:val="center"/>
            <w:hideMark/>
          </w:tcPr>
          <w:p w14:paraId="50ACC8B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275" w:type="dxa"/>
            <w:tcBorders>
              <w:top w:val="nil"/>
              <w:left w:val="nil"/>
              <w:bottom w:val="single" w:sz="4" w:space="0" w:color="auto"/>
              <w:right w:val="nil"/>
            </w:tcBorders>
            <w:noWrap/>
            <w:vAlign w:val="center"/>
            <w:hideMark/>
          </w:tcPr>
          <w:p w14:paraId="0F9E3AD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13</w:t>
            </w:r>
          </w:p>
        </w:tc>
        <w:tc>
          <w:tcPr>
            <w:tcW w:w="1418" w:type="dxa"/>
            <w:tcBorders>
              <w:top w:val="nil"/>
              <w:left w:val="nil"/>
              <w:bottom w:val="single" w:sz="4" w:space="0" w:color="auto"/>
              <w:right w:val="nil"/>
            </w:tcBorders>
            <w:noWrap/>
            <w:vAlign w:val="center"/>
            <w:hideMark/>
          </w:tcPr>
          <w:p w14:paraId="4444938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559" w:type="dxa"/>
            <w:tcBorders>
              <w:top w:val="nil"/>
              <w:left w:val="nil"/>
              <w:bottom w:val="single" w:sz="4" w:space="0" w:color="auto"/>
              <w:right w:val="nil"/>
            </w:tcBorders>
            <w:noWrap/>
            <w:vAlign w:val="center"/>
            <w:hideMark/>
          </w:tcPr>
          <w:p w14:paraId="15DBEC0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53,8</w:t>
            </w:r>
          </w:p>
        </w:tc>
        <w:tc>
          <w:tcPr>
            <w:tcW w:w="1843" w:type="dxa"/>
            <w:vMerge w:val="restart"/>
            <w:tcBorders>
              <w:top w:val="single" w:sz="4" w:space="0" w:color="auto"/>
              <w:left w:val="nil"/>
              <w:bottom w:val="nil"/>
              <w:right w:val="single" w:sz="4" w:space="0" w:color="auto"/>
            </w:tcBorders>
            <w:noWrap/>
            <w:vAlign w:val="center"/>
            <w:hideMark/>
          </w:tcPr>
          <w:p w14:paraId="30FA5715"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53,8</w:t>
            </w:r>
          </w:p>
        </w:tc>
      </w:tr>
      <w:tr w:rsidR="000E15B7" w:rsidRPr="00EC5748" w14:paraId="012457BA" w14:textId="77777777" w:rsidTr="004E323E">
        <w:trPr>
          <w:trHeight w:val="288"/>
        </w:trPr>
        <w:tc>
          <w:tcPr>
            <w:tcW w:w="1985" w:type="dxa"/>
            <w:vMerge/>
            <w:tcBorders>
              <w:top w:val="nil"/>
              <w:left w:val="single" w:sz="4" w:space="0" w:color="auto"/>
              <w:right w:val="nil"/>
            </w:tcBorders>
            <w:vAlign w:val="center"/>
            <w:hideMark/>
          </w:tcPr>
          <w:p w14:paraId="7B30B1B3"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161E1BBD"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1C1AD0F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275" w:type="dxa"/>
            <w:tcBorders>
              <w:top w:val="nil"/>
              <w:left w:val="nil"/>
              <w:bottom w:val="single" w:sz="4" w:space="0" w:color="auto"/>
              <w:right w:val="nil"/>
            </w:tcBorders>
            <w:noWrap/>
            <w:vAlign w:val="center"/>
            <w:hideMark/>
          </w:tcPr>
          <w:p w14:paraId="4BCE78A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13</w:t>
            </w:r>
          </w:p>
        </w:tc>
        <w:tc>
          <w:tcPr>
            <w:tcW w:w="1418" w:type="dxa"/>
            <w:tcBorders>
              <w:top w:val="nil"/>
              <w:left w:val="nil"/>
              <w:bottom w:val="single" w:sz="4" w:space="0" w:color="auto"/>
              <w:right w:val="nil"/>
            </w:tcBorders>
            <w:noWrap/>
            <w:vAlign w:val="center"/>
            <w:hideMark/>
          </w:tcPr>
          <w:p w14:paraId="4AF6927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w:t>
            </w:r>
          </w:p>
        </w:tc>
        <w:tc>
          <w:tcPr>
            <w:tcW w:w="1559" w:type="dxa"/>
            <w:tcBorders>
              <w:top w:val="nil"/>
              <w:left w:val="nil"/>
              <w:bottom w:val="single" w:sz="4" w:space="0" w:color="auto"/>
              <w:right w:val="nil"/>
            </w:tcBorders>
            <w:noWrap/>
            <w:vAlign w:val="center"/>
            <w:hideMark/>
          </w:tcPr>
          <w:p w14:paraId="705E31E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30,8</w:t>
            </w:r>
          </w:p>
        </w:tc>
        <w:tc>
          <w:tcPr>
            <w:tcW w:w="1843" w:type="dxa"/>
            <w:vMerge/>
            <w:tcBorders>
              <w:top w:val="nil"/>
              <w:left w:val="nil"/>
              <w:bottom w:val="nil"/>
              <w:right w:val="single" w:sz="4" w:space="0" w:color="auto"/>
            </w:tcBorders>
            <w:vAlign w:val="center"/>
            <w:hideMark/>
          </w:tcPr>
          <w:p w14:paraId="68AE489B" w14:textId="77777777" w:rsidR="000E15B7" w:rsidRPr="00EC5748" w:rsidRDefault="000E15B7" w:rsidP="00427297">
            <w:pPr>
              <w:jc w:val="center"/>
              <w:rPr>
                <w:rFonts w:eastAsia="Times New Roman"/>
                <w:color w:val="000000"/>
                <w:lang w:eastAsia="fr-CA"/>
              </w:rPr>
            </w:pPr>
          </w:p>
        </w:tc>
      </w:tr>
      <w:tr w:rsidR="000E15B7" w:rsidRPr="00EC5748" w14:paraId="0672FA9D" w14:textId="77777777" w:rsidTr="004E323E">
        <w:trPr>
          <w:trHeight w:val="288"/>
        </w:trPr>
        <w:tc>
          <w:tcPr>
            <w:tcW w:w="1985" w:type="dxa"/>
            <w:vMerge/>
            <w:tcBorders>
              <w:top w:val="nil"/>
              <w:left w:val="single" w:sz="4" w:space="0" w:color="auto"/>
              <w:right w:val="nil"/>
            </w:tcBorders>
            <w:vAlign w:val="center"/>
            <w:hideMark/>
          </w:tcPr>
          <w:p w14:paraId="6A461FE2"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1F420C7A"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43E56E6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275" w:type="dxa"/>
            <w:tcBorders>
              <w:top w:val="nil"/>
              <w:left w:val="nil"/>
              <w:bottom w:val="single" w:sz="4" w:space="0" w:color="auto"/>
              <w:right w:val="nil"/>
            </w:tcBorders>
            <w:noWrap/>
            <w:vAlign w:val="center"/>
            <w:hideMark/>
          </w:tcPr>
          <w:p w14:paraId="53CA17B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12</w:t>
            </w:r>
          </w:p>
        </w:tc>
        <w:tc>
          <w:tcPr>
            <w:tcW w:w="1418" w:type="dxa"/>
            <w:tcBorders>
              <w:top w:val="nil"/>
              <w:left w:val="nil"/>
              <w:bottom w:val="single" w:sz="4" w:space="0" w:color="auto"/>
              <w:right w:val="nil"/>
            </w:tcBorders>
            <w:noWrap/>
            <w:vAlign w:val="center"/>
            <w:hideMark/>
          </w:tcPr>
          <w:p w14:paraId="0AFD030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w:t>
            </w:r>
          </w:p>
        </w:tc>
        <w:tc>
          <w:tcPr>
            <w:tcW w:w="1559" w:type="dxa"/>
            <w:tcBorders>
              <w:top w:val="nil"/>
              <w:left w:val="nil"/>
              <w:bottom w:val="single" w:sz="4" w:space="0" w:color="auto"/>
              <w:right w:val="nil"/>
            </w:tcBorders>
            <w:noWrap/>
            <w:vAlign w:val="center"/>
            <w:hideMark/>
          </w:tcPr>
          <w:p w14:paraId="2769EFD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41,7</w:t>
            </w:r>
          </w:p>
        </w:tc>
        <w:tc>
          <w:tcPr>
            <w:tcW w:w="1843" w:type="dxa"/>
            <w:vMerge/>
            <w:tcBorders>
              <w:top w:val="nil"/>
              <w:left w:val="nil"/>
              <w:bottom w:val="nil"/>
              <w:right w:val="single" w:sz="4" w:space="0" w:color="auto"/>
            </w:tcBorders>
            <w:vAlign w:val="center"/>
            <w:hideMark/>
          </w:tcPr>
          <w:p w14:paraId="262221AF" w14:textId="77777777" w:rsidR="000E15B7" w:rsidRPr="00EC5748" w:rsidRDefault="000E15B7" w:rsidP="00427297">
            <w:pPr>
              <w:jc w:val="center"/>
              <w:rPr>
                <w:rFonts w:eastAsia="Times New Roman"/>
                <w:color w:val="000000"/>
                <w:lang w:eastAsia="fr-CA"/>
              </w:rPr>
            </w:pPr>
          </w:p>
        </w:tc>
      </w:tr>
      <w:tr w:rsidR="000E15B7" w:rsidRPr="00EC5748" w14:paraId="6B824FEB" w14:textId="77777777" w:rsidTr="004E323E">
        <w:trPr>
          <w:trHeight w:val="288"/>
        </w:trPr>
        <w:tc>
          <w:tcPr>
            <w:tcW w:w="1985" w:type="dxa"/>
            <w:vMerge/>
            <w:tcBorders>
              <w:top w:val="nil"/>
              <w:left w:val="single" w:sz="4" w:space="0" w:color="auto"/>
              <w:right w:val="nil"/>
            </w:tcBorders>
            <w:vAlign w:val="center"/>
            <w:hideMark/>
          </w:tcPr>
          <w:p w14:paraId="040509D1"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505653EB"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1ADE32A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275" w:type="dxa"/>
            <w:tcBorders>
              <w:top w:val="nil"/>
              <w:left w:val="nil"/>
              <w:bottom w:val="single" w:sz="4" w:space="0" w:color="auto"/>
              <w:right w:val="nil"/>
            </w:tcBorders>
            <w:noWrap/>
            <w:vAlign w:val="center"/>
            <w:hideMark/>
          </w:tcPr>
          <w:p w14:paraId="594A8AD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12</w:t>
            </w:r>
          </w:p>
        </w:tc>
        <w:tc>
          <w:tcPr>
            <w:tcW w:w="1418" w:type="dxa"/>
            <w:tcBorders>
              <w:top w:val="nil"/>
              <w:left w:val="nil"/>
              <w:bottom w:val="single" w:sz="4" w:space="0" w:color="auto"/>
              <w:right w:val="nil"/>
            </w:tcBorders>
            <w:noWrap/>
            <w:vAlign w:val="center"/>
            <w:hideMark/>
          </w:tcPr>
          <w:p w14:paraId="1BBDF15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559" w:type="dxa"/>
            <w:tcBorders>
              <w:top w:val="nil"/>
              <w:left w:val="nil"/>
              <w:bottom w:val="single" w:sz="4" w:space="0" w:color="auto"/>
              <w:right w:val="nil"/>
            </w:tcBorders>
            <w:noWrap/>
            <w:vAlign w:val="center"/>
            <w:hideMark/>
          </w:tcPr>
          <w:p w14:paraId="60E155A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16,7</w:t>
            </w:r>
          </w:p>
        </w:tc>
        <w:tc>
          <w:tcPr>
            <w:tcW w:w="1843" w:type="dxa"/>
            <w:vMerge/>
            <w:tcBorders>
              <w:top w:val="nil"/>
              <w:left w:val="nil"/>
              <w:bottom w:val="single" w:sz="4" w:space="0" w:color="auto"/>
              <w:right w:val="single" w:sz="4" w:space="0" w:color="auto"/>
            </w:tcBorders>
            <w:vAlign w:val="center"/>
            <w:hideMark/>
          </w:tcPr>
          <w:p w14:paraId="3F9FAB7A" w14:textId="77777777" w:rsidR="000E15B7" w:rsidRPr="00EC5748" w:rsidRDefault="000E15B7" w:rsidP="00427297">
            <w:pPr>
              <w:jc w:val="center"/>
              <w:rPr>
                <w:rFonts w:eastAsia="Times New Roman"/>
                <w:color w:val="000000"/>
                <w:lang w:eastAsia="fr-CA"/>
              </w:rPr>
            </w:pPr>
          </w:p>
        </w:tc>
      </w:tr>
      <w:tr w:rsidR="000E15B7" w:rsidRPr="00EC5748" w14:paraId="05DD18A7" w14:textId="77777777" w:rsidTr="004E323E">
        <w:trPr>
          <w:trHeight w:val="288"/>
        </w:trPr>
        <w:tc>
          <w:tcPr>
            <w:tcW w:w="1985" w:type="dxa"/>
            <w:vMerge/>
            <w:tcBorders>
              <w:top w:val="nil"/>
              <w:left w:val="single" w:sz="4" w:space="0" w:color="auto"/>
              <w:right w:val="nil"/>
            </w:tcBorders>
            <w:vAlign w:val="center"/>
            <w:hideMark/>
          </w:tcPr>
          <w:p w14:paraId="0140DA18"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000000"/>
              <w:right w:val="nil"/>
            </w:tcBorders>
            <w:vAlign w:val="center"/>
            <w:hideMark/>
          </w:tcPr>
          <w:p w14:paraId="2FFB779A"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5D28213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275" w:type="dxa"/>
            <w:tcBorders>
              <w:top w:val="nil"/>
              <w:left w:val="nil"/>
              <w:bottom w:val="single" w:sz="4" w:space="0" w:color="auto"/>
              <w:right w:val="nil"/>
            </w:tcBorders>
            <w:noWrap/>
            <w:vAlign w:val="center"/>
            <w:hideMark/>
          </w:tcPr>
          <w:p w14:paraId="678F314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12</w:t>
            </w:r>
          </w:p>
        </w:tc>
        <w:tc>
          <w:tcPr>
            <w:tcW w:w="1418" w:type="dxa"/>
            <w:tcBorders>
              <w:top w:val="nil"/>
              <w:left w:val="nil"/>
              <w:bottom w:val="single" w:sz="4" w:space="0" w:color="auto"/>
              <w:right w:val="nil"/>
            </w:tcBorders>
            <w:noWrap/>
            <w:vAlign w:val="center"/>
            <w:hideMark/>
          </w:tcPr>
          <w:p w14:paraId="7B616CE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559" w:type="dxa"/>
            <w:tcBorders>
              <w:top w:val="nil"/>
              <w:left w:val="nil"/>
              <w:bottom w:val="single" w:sz="4" w:space="0" w:color="auto"/>
              <w:right w:val="nil"/>
            </w:tcBorders>
            <w:noWrap/>
            <w:vAlign w:val="center"/>
            <w:hideMark/>
          </w:tcPr>
          <w:p w14:paraId="639C593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16,7</w:t>
            </w:r>
          </w:p>
        </w:tc>
        <w:tc>
          <w:tcPr>
            <w:tcW w:w="1843" w:type="dxa"/>
            <w:tcBorders>
              <w:top w:val="single" w:sz="4" w:space="0" w:color="auto"/>
              <w:left w:val="nil"/>
              <w:bottom w:val="single" w:sz="4" w:space="0" w:color="auto"/>
              <w:right w:val="single" w:sz="4" w:space="0" w:color="auto"/>
            </w:tcBorders>
            <w:vAlign w:val="center"/>
            <w:hideMark/>
          </w:tcPr>
          <w:p w14:paraId="0016CDAD" w14:textId="09439652"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08EA3BC1" w14:textId="77777777" w:rsidTr="004E323E">
        <w:trPr>
          <w:trHeight w:val="288"/>
        </w:trPr>
        <w:tc>
          <w:tcPr>
            <w:tcW w:w="1985" w:type="dxa"/>
            <w:vMerge/>
            <w:tcBorders>
              <w:top w:val="nil"/>
              <w:left w:val="single" w:sz="4" w:space="0" w:color="auto"/>
              <w:right w:val="nil"/>
            </w:tcBorders>
            <w:vAlign w:val="center"/>
            <w:hideMark/>
          </w:tcPr>
          <w:p w14:paraId="0E0777FE" w14:textId="77777777" w:rsidR="000E15B7" w:rsidRPr="00EC5748" w:rsidRDefault="000E15B7" w:rsidP="00EC5748">
            <w:pPr>
              <w:ind w:right="-70"/>
              <w:rPr>
                <w:rFonts w:eastAsia="Times New Roman"/>
                <w:i/>
                <w:iCs/>
                <w:color w:val="000000"/>
                <w:lang w:eastAsia="fr-CA"/>
              </w:rPr>
            </w:pPr>
          </w:p>
        </w:tc>
        <w:tc>
          <w:tcPr>
            <w:tcW w:w="1632" w:type="dxa"/>
            <w:vMerge w:val="restart"/>
            <w:tcBorders>
              <w:top w:val="single" w:sz="4" w:space="0" w:color="000000"/>
              <w:left w:val="nil"/>
              <w:bottom w:val="single" w:sz="4" w:space="0" w:color="auto"/>
              <w:right w:val="nil"/>
            </w:tcBorders>
            <w:vAlign w:val="center"/>
            <w:hideMark/>
          </w:tcPr>
          <w:p w14:paraId="4F930AAE" w14:textId="0AF381F4" w:rsidR="000E15B7" w:rsidRPr="00EC5748" w:rsidRDefault="000E15B7" w:rsidP="00EC5748">
            <w:pPr>
              <w:jc w:val="center"/>
              <w:rPr>
                <w:rFonts w:eastAsia="Times New Roman"/>
                <w:color w:val="000000"/>
                <w:lang w:eastAsia="fr-CA"/>
              </w:rPr>
            </w:pPr>
            <w:r w:rsidRPr="00EC5748">
              <w:rPr>
                <w:rFonts w:eastAsia="Times New Roman"/>
                <w:color w:val="000000"/>
                <w:lang w:eastAsia="fr-CA"/>
              </w:rPr>
              <w:t>Gaspésie</w:t>
            </w:r>
            <w:r w:rsidR="00EC7D82">
              <w:rPr>
                <w:rFonts w:ascii="Aptos Narrow" w:eastAsia="Times New Roman" w:hAnsi="Aptos Narrow"/>
                <w:color w:val="000000"/>
                <w:lang w:eastAsia="fr-CA"/>
              </w:rPr>
              <w:t>–</w:t>
            </w:r>
            <w:r w:rsidRPr="00EC5748">
              <w:rPr>
                <w:rFonts w:eastAsia="Times New Roman"/>
                <w:color w:val="000000"/>
                <w:lang w:eastAsia="fr-CA"/>
              </w:rPr>
              <w:t>Îles-de-la-Madeleine</w:t>
            </w:r>
          </w:p>
        </w:tc>
        <w:tc>
          <w:tcPr>
            <w:tcW w:w="1345" w:type="dxa"/>
            <w:tcBorders>
              <w:top w:val="nil"/>
              <w:left w:val="nil"/>
              <w:bottom w:val="single" w:sz="4" w:space="0" w:color="auto"/>
              <w:right w:val="nil"/>
            </w:tcBorders>
            <w:vAlign w:val="center"/>
            <w:hideMark/>
          </w:tcPr>
          <w:p w14:paraId="570DA0D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275" w:type="dxa"/>
            <w:tcBorders>
              <w:top w:val="nil"/>
              <w:left w:val="nil"/>
              <w:bottom w:val="single" w:sz="4" w:space="0" w:color="auto"/>
              <w:right w:val="nil"/>
            </w:tcBorders>
            <w:noWrap/>
            <w:vAlign w:val="center"/>
            <w:hideMark/>
          </w:tcPr>
          <w:p w14:paraId="40DFB0B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w:t>
            </w:r>
          </w:p>
        </w:tc>
        <w:tc>
          <w:tcPr>
            <w:tcW w:w="1418" w:type="dxa"/>
            <w:tcBorders>
              <w:top w:val="nil"/>
              <w:left w:val="nil"/>
              <w:bottom w:val="single" w:sz="4" w:space="0" w:color="auto"/>
              <w:right w:val="nil"/>
            </w:tcBorders>
            <w:noWrap/>
            <w:vAlign w:val="center"/>
            <w:hideMark/>
          </w:tcPr>
          <w:p w14:paraId="608A61A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559" w:type="dxa"/>
            <w:tcBorders>
              <w:top w:val="nil"/>
              <w:left w:val="nil"/>
              <w:bottom w:val="single" w:sz="4" w:space="0" w:color="auto"/>
              <w:right w:val="nil"/>
            </w:tcBorders>
            <w:noWrap/>
            <w:vAlign w:val="center"/>
            <w:hideMark/>
          </w:tcPr>
          <w:p w14:paraId="37D1E87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843" w:type="dxa"/>
            <w:vMerge w:val="restart"/>
            <w:tcBorders>
              <w:top w:val="single" w:sz="4" w:space="0" w:color="auto"/>
              <w:left w:val="nil"/>
              <w:bottom w:val="nil"/>
              <w:right w:val="single" w:sz="4" w:space="0" w:color="auto"/>
            </w:tcBorders>
            <w:noWrap/>
            <w:vAlign w:val="center"/>
            <w:hideMark/>
          </w:tcPr>
          <w:p w14:paraId="0AD0D78F"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0</w:t>
            </w:r>
          </w:p>
        </w:tc>
      </w:tr>
      <w:tr w:rsidR="000E15B7" w:rsidRPr="00EC5748" w14:paraId="05F7A8CC" w14:textId="77777777" w:rsidTr="004E323E">
        <w:trPr>
          <w:trHeight w:val="288"/>
        </w:trPr>
        <w:tc>
          <w:tcPr>
            <w:tcW w:w="1985" w:type="dxa"/>
            <w:vMerge/>
            <w:tcBorders>
              <w:top w:val="nil"/>
              <w:left w:val="single" w:sz="4" w:space="0" w:color="auto"/>
              <w:right w:val="nil"/>
            </w:tcBorders>
            <w:vAlign w:val="center"/>
            <w:hideMark/>
          </w:tcPr>
          <w:p w14:paraId="1D031470" w14:textId="77777777" w:rsidR="000E15B7" w:rsidRPr="00EC5748" w:rsidRDefault="000E15B7" w:rsidP="00EC5748">
            <w:pPr>
              <w:ind w:right="-70"/>
              <w:rPr>
                <w:rFonts w:eastAsia="Times New Roman"/>
                <w:i/>
                <w:iCs/>
                <w:color w:val="000000"/>
                <w:lang w:eastAsia="fr-CA"/>
              </w:rPr>
            </w:pPr>
          </w:p>
        </w:tc>
        <w:tc>
          <w:tcPr>
            <w:tcW w:w="1632" w:type="dxa"/>
            <w:vMerge/>
            <w:tcBorders>
              <w:top w:val="single" w:sz="4" w:space="0" w:color="000000"/>
              <w:left w:val="nil"/>
              <w:bottom w:val="single" w:sz="4" w:space="0" w:color="auto"/>
              <w:right w:val="nil"/>
            </w:tcBorders>
            <w:vAlign w:val="center"/>
            <w:hideMark/>
          </w:tcPr>
          <w:p w14:paraId="1A33BE71"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4E1DBFE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275" w:type="dxa"/>
            <w:tcBorders>
              <w:top w:val="nil"/>
              <w:left w:val="nil"/>
              <w:bottom w:val="single" w:sz="4" w:space="0" w:color="auto"/>
              <w:right w:val="nil"/>
            </w:tcBorders>
            <w:noWrap/>
            <w:vAlign w:val="center"/>
            <w:hideMark/>
          </w:tcPr>
          <w:p w14:paraId="6657EC5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w:t>
            </w:r>
          </w:p>
        </w:tc>
        <w:tc>
          <w:tcPr>
            <w:tcW w:w="1418" w:type="dxa"/>
            <w:tcBorders>
              <w:top w:val="nil"/>
              <w:left w:val="nil"/>
              <w:bottom w:val="single" w:sz="4" w:space="0" w:color="auto"/>
              <w:right w:val="nil"/>
            </w:tcBorders>
            <w:noWrap/>
            <w:vAlign w:val="center"/>
            <w:hideMark/>
          </w:tcPr>
          <w:p w14:paraId="561397C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559" w:type="dxa"/>
            <w:tcBorders>
              <w:top w:val="nil"/>
              <w:left w:val="nil"/>
              <w:bottom w:val="single" w:sz="4" w:space="0" w:color="auto"/>
              <w:right w:val="nil"/>
            </w:tcBorders>
            <w:noWrap/>
            <w:vAlign w:val="center"/>
            <w:hideMark/>
          </w:tcPr>
          <w:p w14:paraId="48B1BD80" w14:textId="4338468D"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843" w:type="dxa"/>
            <w:vMerge/>
            <w:tcBorders>
              <w:top w:val="nil"/>
              <w:left w:val="nil"/>
              <w:bottom w:val="nil"/>
              <w:right w:val="single" w:sz="4" w:space="0" w:color="auto"/>
            </w:tcBorders>
            <w:vAlign w:val="center"/>
            <w:hideMark/>
          </w:tcPr>
          <w:p w14:paraId="65BFB10A" w14:textId="77777777" w:rsidR="000E15B7" w:rsidRPr="00EC5748" w:rsidRDefault="000E15B7" w:rsidP="00427297">
            <w:pPr>
              <w:jc w:val="center"/>
              <w:rPr>
                <w:rFonts w:eastAsia="Times New Roman"/>
                <w:color w:val="000000"/>
                <w:lang w:eastAsia="fr-CA"/>
              </w:rPr>
            </w:pPr>
          </w:p>
        </w:tc>
      </w:tr>
      <w:tr w:rsidR="000E15B7" w:rsidRPr="00EC5748" w14:paraId="1D916242" w14:textId="77777777" w:rsidTr="004E323E">
        <w:trPr>
          <w:trHeight w:val="288"/>
        </w:trPr>
        <w:tc>
          <w:tcPr>
            <w:tcW w:w="1985" w:type="dxa"/>
            <w:vMerge/>
            <w:tcBorders>
              <w:top w:val="nil"/>
              <w:left w:val="single" w:sz="4" w:space="0" w:color="auto"/>
              <w:right w:val="nil"/>
            </w:tcBorders>
            <w:vAlign w:val="center"/>
            <w:hideMark/>
          </w:tcPr>
          <w:p w14:paraId="09135DA0" w14:textId="77777777" w:rsidR="000E15B7" w:rsidRPr="00EC5748" w:rsidRDefault="000E15B7" w:rsidP="00EC5748">
            <w:pPr>
              <w:ind w:right="-70"/>
              <w:rPr>
                <w:rFonts w:eastAsia="Times New Roman"/>
                <w:i/>
                <w:iCs/>
                <w:color w:val="000000"/>
                <w:lang w:eastAsia="fr-CA"/>
              </w:rPr>
            </w:pPr>
          </w:p>
        </w:tc>
        <w:tc>
          <w:tcPr>
            <w:tcW w:w="1632" w:type="dxa"/>
            <w:vMerge/>
            <w:tcBorders>
              <w:top w:val="single" w:sz="4" w:space="0" w:color="000000"/>
              <w:left w:val="nil"/>
              <w:bottom w:val="single" w:sz="4" w:space="0" w:color="auto"/>
              <w:right w:val="nil"/>
            </w:tcBorders>
            <w:vAlign w:val="center"/>
            <w:hideMark/>
          </w:tcPr>
          <w:p w14:paraId="46FB697D"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360ABA4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275" w:type="dxa"/>
            <w:tcBorders>
              <w:top w:val="nil"/>
              <w:left w:val="nil"/>
              <w:bottom w:val="single" w:sz="4" w:space="0" w:color="auto"/>
              <w:right w:val="nil"/>
            </w:tcBorders>
            <w:noWrap/>
            <w:vAlign w:val="center"/>
            <w:hideMark/>
          </w:tcPr>
          <w:p w14:paraId="5497FAE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w:t>
            </w:r>
          </w:p>
        </w:tc>
        <w:tc>
          <w:tcPr>
            <w:tcW w:w="1418" w:type="dxa"/>
            <w:tcBorders>
              <w:top w:val="nil"/>
              <w:left w:val="nil"/>
              <w:bottom w:val="single" w:sz="4" w:space="0" w:color="auto"/>
              <w:right w:val="nil"/>
            </w:tcBorders>
            <w:noWrap/>
            <w:vAlign w:val="center"/>
            <w:hideMark/>
          </w:tcPr>
          <w:p w14:paraId="6582091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559" w:type="dxa"/>
            <w:tcBorders>
              <w:top w:val="nil"/>
              <w:left w:val="nil"/>
              <w:bottom w:val="single" w:sz="4" w:space="0" w:color="auto"/>
              <w:right w:val="nil"/>
            </w:tcBorders>
            <w:noWrap/>
            <w:vAlign w:val="center"/>
            <w:hideMark/>
          </w:tcPr>
          <w:p w14:paraId="48A4DED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843" w:type="dxa"/>
            <w:vMerge/>
            <w:tcBorders>
              <w:top w:val="nil"/>
              <w:left w:val="nil"/>
              <w:bottom w:val="nil"/>
              <w:right w:val="single" w:sz="4" w:space="0" w:color="auto"/>
            </w:tcBorders>
            <w:vAlign w:val="center"/>
            <w:hideMark/>
          </w:tcPr>
          <w:p w14:paraId="78061CF2" w14:textId="77777777" w:rsidR="000E15B7" w:rsidRPr="00EC5748" w:rsidRDefault="000E15B7" w:rsidP="00427297">
            <w:pPr>
              <w:jc w:val="center"/>
              <w:rPr>
                <w:rFonts w:eastAsia="Times New Roman"/>
                <w:color w:val="000000"/>
                <w:lang w:eastAsia="fr-CA"/>
              </w:rPr>
            </w:pPr>
          </w:p>
        </w:tc>
      </w:tr>
      <w:tr w:rsidR="000E15B7" w:rsidRPr="00EC5748" w14:paraId="6BF71DAA" w14:textId="77777777" w:rsidTr="004E323E">
        <w:trPr>
          <w:trHeight w:val="288"/>
        </w:trPr>
        <w:tc>
          <w:tcPr>
            <w:tcW w:w="1985" w:type="dxa"/>
            <w:vMerge/>
            <w:tcBorders>
              <w:top w:val="nil"/>
              <w:left w:val="single" w:sz="4" w:space="0" w:color="auto"/>
              <w:right w:val="nil"/>
            </w:tcBorders>
            <w:vAlign w:val="center"/>
            <w:hideMark/>
          </w:tcPr>
          <w:p w14:paraId="6D7338A5" w14:textId="77777777" w:rsidR="000E15B7" w:rsidRPr="00EC5748" w:rsidRDefault="000E15B7" w:rsidP="00EC5748">
            <w:pPr>
              <w:ind w:right="-70"/>
              <w:rPr>
                <w:rFonts w:eastAsia="Times New Roman"/>
                <w:i/>
                <w:iCs/>
                <w:color w:val="000000"/>
                <w:lang w:eastAsia="fr-CA"/>
              </w:rPr>
            </w:pPr>
          </w:p>
        </w:tc>
        <w:tc>
          <w:tcPr>
            <w:tcW w:w="1632" w:type="dxa"/>
            <w:vMerge/>
            <w:tcBorders>
              <w:top w:val="single" w:sz="4" w:space="0" w:color="000000"/>
              <w:left w:val="nil"/>
              <w:bottom w:val="single" w:sz="4" w:space="0" w:color="auto"/>
              <w:right w:val="nil"/>
            </w:tcBorders>
            <w:vAlign w:val="center"/>
            <w:hideMark/>
          </w:tcPr>
          <w:p w14:paraId="7850F465"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54BCBA9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275" w:type="dxa"/>
            <w:tcBorders>
              <w:top w:val="nil"/>
              <w:left w:val="nil"/>
              <w:bottom w:val="single" w:sz="4" w:space="0" w:color="auto"/>
              <w:right w:val="nil"/>
            </w:tcBorders>
            <w:noWrap/>
            <w:vAlign w:val="center"/>
            <w:hideMark/>
          </w:tcPr>
          <w:p w14:paraId="674FA62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w:t>
            </w:r>
          </w:p>
        </w:tc>
        <w:tc>
          <w:tcPr>
            <w:tcW w:w="1418" w:type="dxa"/>
            <w:tcBorders>
              <w:top w:val="nil"/>
              <w:left w:val="nil"/>
              <w:bottom w:val="single" w:sz="4" w:space="0" w:color="auto"/>
              <w:right w:val="nil"/>
            </w:tcBorders>
            <w:noWrap/>
            <w:vAlign w:val="center"/>
            <w:hideMark/>
          </w:tcPr>
          <w:p w14:paraId="75A5D17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559" w:type="dxa"/>
            <w:tcBorders>
              <w:top w:val="nil"/>
              <w:left w:val="nil"/>
              <w:bottom w:val="single" w:sz="4" w:space="0" w:color="auto"/>
              <w:right w:val="nil"/>
            </w:tcBorders>
            <w:noWrap/>
            <w:vAlign w:val="center"/>
            <w:hideMark/>
          </w:tcPr>
          <w:p w14:paraId="75620EB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843" w:type="dxa"/>
            <w:vMerge/>
            <w:tcBorders>
              <w:top w:val="nil"/>
              <w:left w:val="nil"/>
              <w:bottom w:val="nil"/>
              <w:right w:val="single" w:sz="4" w:space="0" w:color="auto"/>
            </w:tcBorders>
            <w:vAlign w:val="center"/>
            <w:hideMark/>
          </w:tcPr>
          <w:p w14:paraId="4DDB2A6B" w14:textId="77777777" w:rsidR="000E15B7" w:rsidRPr="00EC5748" w:rsidRDefault="000E15B7" w:rsidP="00427297">
            <w:pPr>
              <w:jc w:val="center"/>
              <w:rPr>
                <w:rFonts w:eastAsia="Times New Roman"/>
                <w:color w:val="000000"/>
                <w:lang w:eastAsia="fr-CA"/>
              </w:rPr>
            </w:pPr>
          </w:p>
        </w:tc>
      </w:tr>
      <w:tr w:rsidR="000E15B7" w:rsidRPr="00EC5748" w14:paraId="61F08A54" w14:textId="77777777" w:rsidTr="004E323E">
        <w:trPr>
          <w:trHeight w:val="288"/>
        </w:trPr>
        <w:tc>
          <w:tcPr>
            <w:tcW w:w="1985" w:type="dxa"/>
            <w:vMerge/>
            <w:tcBorders>
              <w:top w:val="nil"/>
              <w:left w:val="single" w:sz="4" w:space="0" w:color="auto"/>
              <w:right w:val="nil"/>
            </w:tcBorders>
            <w:vAlign w:val="center"/>
            <w:hideMark/>
          </w:tcPr>
          <w:p w14:paraId="0239F7F3" w14:textId="77777777" w:rsidR="000E15B7" w:rsidRPr="00EC5748" w:rsidRDefault="000E15B7" w:rsidP="00EC5748">
            <w:pPr>
              <w:ind w:right="-70"/>
              <w:rPr>
                <w:rFonts w:eastAsia="Times New Roman"/>
                <w:i/>
                <w:iCs/>
                <w:color w:val="000000"/>
                <w:lang w:eastAsia="fr-CA"/>
              </w:rPr>
            </w:pPr>
          </w:p>
        </w:tc>
        <w:tc>
          <w:tcPr>
            <w:tcW w:w="1632" w:type="dxa"/>
            <w:vMerge/>
            <w:tcBorders>
              <w:top w:val="single" w:sz="4" w:space="0" w:color="000000"/>
              <w:left w:val="nil"/>
              <w:bottom w:val="single" w:sz="4" w:space="0" w:color="auto"/>
              <w:right w:val="nil"/>
            </w:tcBorders>
            <w:vAlign w:val="center"/>
            <w:hideMark/>
          </w:tcPr>
          <w:p w14:paraId="04E9DC0E"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1AABB01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275" w:type="dxa"/>
            <w:tcBorders>
              <w:top w:val="nil"/>
              <w:left w:val="nil"/>
              <w:bottom w:val="single" w:sz="4" w:space="0" w:color="auto"/>
              <w:right w:val="nil"/>
            </w:tcBorders>
            <w:noWrap/>
            <w:vAlign w:val="center"/>
            <w:hideMark/>
          </w:tcPr>
          <w:p w14:paraId="478F839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w:t>
            </w:r>
          </w:p>
        </w:tc>
        <w:tc>
          <w:tcPr>
            <w:tcW w:w="1418" w:type="dxa"/>
            <w:tcBorders>
              <w:top w:val="nil"/>
              <w:left w:val="nil"/>
              <w:bottom w:val="single" w:sz="4" w:space="0" w:color="auto"/>
              <w:right w:val="nil"/>
            </w:tcBorders>
            <w:noWrap/>
            <w:vAlign w:val="center"/>
            <w:hideMark/>
          </w:tcPr>
          <w:p w14:paraId="67B8249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559" w:type="dxa"/>
            <w:tcBorders>
              <w:top w:val="nil"/>
              <w:left w:val="nil"/>
              <w:bottom w:val="single" w:sz="4" w:space="0" w:color="auto"/>
              <w:right w:val="nil"/>
            </w:tcBorders>
            <w:noWrap/>
            <w:vAlign w:val="center"/>
            <w:hideMark/>
          </w:tcPr>
          <w:p w14:paraId="1E617AA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843" w:type="dxa"/>
            <w:tcBorders>
              <w:top w:val="single" w:sz="4" w:space="0" w:color="auto"/>
              <w:left w:val="nil"/>
              <w:bottom w:val="single" w:sz="4" w:space="0" w:color="auto"/>
              <w:right w:val="single" w:sz="4" w:space="0" w:color="auto"/>
            </w:tcBorders>
            <w:vAlign w:val="center"/>
            <w:hideMark/>
          </w:tcPr>
          <w:p w14:paraId="1CAADD17" w14:textId="0945C85A"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23FEA030" w14:textId="77777777" w:rsidTr="004E323E">
        <w:trPr>
          <w:trHeight w:val="288"/>
        </w:trPr>
        <w:tc>
          <w:tcPr>
            <w:tcW w:w="1985" w:type="dxa"/>
            <w:vMerge/>
            <w:tcBorders>
              <w:top w:val="nil"/>
              <w:left w:val="single" w:sz="4" w:space="0" w:color="auto"/>
              <w:right w:val="nil"/>
            </w:tcBorders>
            <w:vAlign w:val="center"/>
            <w:hideMark/>
          </w:tcPr>
          <w:p w14:paraId="63F7A396" w14:textId="77777777" w:rsidR="000E15B7" w:rsidRPr="00EC5748" w:rsidRDefault="000E15B7" w:rsidP="00EC5748">
            <w:pPr>
              <w:ind w:right="-70"/>
              <w:rPr>
                <w:rFonts w:eastAsia="Times New Roman"/>
                <w:i/>
                <w:iCs/>
                <w:color w:val="000000"/>
                <w:lang w:eastAsia="fr-CA"/>
              </w:rPr>
            </w:pPr>
          </w:p>
        </w:tc>
        <w:tc>
          <w:tcPr>
            <w:tcW w:w="1632" w:type="dxa"/>
            <w:vMerge w:val="restart"/>
            <w:tcBorders>
              <w:top w:val="single" w:sz="4" w:space="0" w:color="auto"/>
              <w:left w:val="nil"/>
              <w:right w:val="nil"/>
            </w:tcBorders>
            <w:noWrap/>
            <w:vAlign w:val="center"/>
            <w:hideMark/>
          </w:tcPr>
          <w:p w14:paraId="2E4BA0F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Laval</w:t>
            </w:r>
          </w:p>
        </w:tc>
        <w:tc>
          <w:tcPr>
            <w:tcW w:w="1345" w:type="dxa"/>
            <w:tcBorders>
              <w:top w:val="nil"/>
              <w:left w:val="nil"/>
              <w:bottom w:val="single" w:sz="4" w:space="0" w:color="auto"/>
              <w:right w:val="nil"/>
            </w:tcBorders>
            <w:vAlign w:val="center"/>
            <w:hideMark/>
          </w:tcPr>
          <w:p w14:paraId="266BC82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275" w:type="dxa"/>
            <w:tcBorders>
              <w:top w:val="nil"/>
              <w:left w:val="nil"/>
              <w:bottom w:val="single" w:sz="4" w:space="0" w:color="auto"/>
              <w:right w:val="nil"/>
            </w:tcBorders>
            <w:noWrap/>
            <w:vAlign w:val="bottom"/>
            <w:hideMark/>
          </w:tcPr>
          <w:p w14:paraId="0FEB3E0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418" w:type="dxa"/>
            <w:tcBorders>
              <w:top w:val="nil"/>
              <w:left w:val="nil"/>
              <w:bottom w:val="single" w:sz="4" w:space="0" w:color="auto"/>
              <w:right w:val="nil"/>
            </w:tcBorders>
            <w:noWrap/>
            <w:vAlign w:val="bottom"/>
            <w:hideMark/>
          </w:tcPr>
          <w:p w14:paraId="4EB6E6D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559" w:type="dxa"/>
            <w:tcBorders>
              <w:top w:val="nil"/>
              <w:left w:val="nil"/>
              <w:bottom w:val="single" w:sz="4" w:space="0" w:color="auto"/>
              <w:right w:val="nil"/>
            </w:tcBorders>
            <w:noWrap/>
            <w:vAlign w:val="bottom"/>
            <w:hideMark/>
          </w:tcPr>
          <w:p w14:paraId="59C363B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843" w:type="dxa"/>
            <w:vMerge w:val="restart"/>
            <w:tcBorders>
              <w:top w:val="single" w:sz="4" w:space="0" w:color="auto"/>
              <w:left w:val="nil"/>
              <w:bottom w:val="nil"/>
              <w:right w:val="single" w:sz="4" w:space="0" w:color="auto"/>
            </w:tcBorders>
            <w:noWrap/>
            <w:vAlign w:val="center"/>
            <w:hideMark/>
          </w:tcPr>
          <w:p w14:paraId="37D5E6A9"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0</w:t>
            </w:r>
          </w:p>
        </w:tc>
      </w:tr>
      <w:tr w:rsidR="000E15B7" w:rsidRPr="00EC5748" w14:paraId="00151826" w14:textId="77777777" w:rsidTr="004E323E">
        <w:trPr>
          <w:trHeight w:val="288"/>
        </w:trPr>
        <w:tc>
          <w:tcPr>
            <w:tcW w:w="1985" w:type="dxa"/>
            <w:vMerge/>
            <w:tcBorders>
              <w:top w:val="nil"/>
              <w:left w:val="single" w:sz="4" w:space="0" w:color="auto"/>
              <w:right w:val="nil"/>
            </w:tcBorders>
            <w:vAlign w:val="center"/>
            <w:hideMark/>
          </w:tcPr>
          <w:p w14:paraId="7A540D27"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right w:val="nil"/>
            </w:tcBorders>
            <w:vAlign w:val="center"/>
            <w:hideMark/>
          </w:tcPr>
          <w:p w14:paraId="05898875"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0844AA9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275" w:type="dxa"/>
            <w:tcBorders>
              <w:top w:val="nil"/>
              <w:left w:val="nil"/>
              <w:bottom w:val="single" w:sz="4" w:space="0" w:color="auto"/>
              <w:right w:val="nil"/>
            </w:tcBorders>
            <w:noWrap/>
            <w:vAlign w:val="bottom"/>
            <w:hideMark/>
          </w:tcPr>
          <w:p w14:paraId="4D509A7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418" w:type="dxa"/>
            <w:tcBorders>
              <w:top w:val="nil"/>
              <w:left w:val="nil"/>
              <w:bottom w:val="single" w:sz="4" w:space="0" w:color="auto"/>
              <w:right w:val="nil"/>
            </w:tcBorders>
            <w:noWrap/>
            <w:vAlign w:val="bottom"/>
            <w:hideMark/>
          </w:tcPr>
          <w:p w14:paraId="2843025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559" w:type="dxa"/>
            <w:tcBorders>
              <w:top w:val="nil"/>
              <w:left w:val="nil"/>
              <w:bottom w:val="single" w:sz="4" w:space="0" w:color="auto"/>
              <w:right w:val="nil"/>
            </w:tcBorders>
            <w:noWrap/>
            <w:vAlign w:val="bottom"/>
            <w:hideMark/>
          </w:tcPr>
          <w:p w14:paraId="2DBD195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843" w:type="dxa"/>
            <w:vMerge/>
            <w:tcBorders>
              <w:top w:val="nil"/>
              <w:left w:val="nil"/>
              <w:bottom w:val="nil"/>
              <w:right w:val="single" w:sz="4" w:space="0" w:color="auto"/>
            </w:tcBorders>
            <w:vAlign w:val="center"/>
            <w:hideMark/>
          </w:tcPr>
          <w:p w14:paraId="4A823416" w14:textId="77777777" w:rsidR="000E15B7" w:rsidRPr="00EC5748" w:rsidRDefault="000E15B7" w:rsidP="00427297">
            <w:pPr>
              <w:jc w:val="center"/>
              <w:rPr>
                <w:rFonts w:eastAsia="Times New Roman"/>
                <w:color w:val="000000"/>
                <w:lang w:eastAsia="fr-CA"/>
              </w:rPr>
            </w:pPr>
          </w:p>
        </w:tc>
      </w:tr>
      <w:tr w:rsidR="000E15B7" w:rsidRPr="00EC5748" w14:paraId="17A1AFBE" w14:textId="77777777" w:rsidTr="004E323E">
        <w:trPr>
          <w:trHeight w:val="288"/>
        </w:trPr>
        <w:tc>
          <w:tcPr>
            <w:tcW w:w="1985" w:type="dxa"/>
            <w:vMerge/>
            <w:tcBorders>
              <w:top w:val="nil"/>
              <w:left w:val="single" w:sz="4" w:space="0" w:color="auto"/>
              <w:right w:val="nil"/>
            </w:tcBorders>
            <w:vAlign w:val="center"/>
            <w:hideMark/>
          </w:tcPr>
          <w:p w14:paraId="444C0959"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right w:val="nil"/>
            </w:tcBorders>
            <w:vAlign w:val="center"/>
            <w:hideMark/>
          </w:tcPr>
          <w:p w14:paraId="340F873B"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52C3B92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275" w:type="dxa"/>
            <w:tcBorders>
              <w:top w:val="nil"/>
              <w:left w:val="nil"/>
              <w:bottom w:val="single" w:sz="4" w:space="0" w:color="auto"/>
              <w:right w:val="nil"/>
            </w:tcBorders>
            <w:noWrap/>
            <w:vAlign w:val="bottom"/>
            <w:hideMark/>
          </w:tcPr>
          <w:p w14:paraId="39A1E08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418" w:type="dxa"/>
            <w:tcBorders>
              <w:top w:val="nil"/>
              <w:left w:val="nil"/>
              <w:bottom w:val="single" w:sz="4" w:space="0" w:color="auto"/>
              <w:right w:val="nil"/>
            </w:tcBorders>
            <w:noWrap/>
            <w:vAlign w:val="bottom"/>
            <w:hideMark/>
          </w:tcPr>
          <w:p w14:paraId="122FAE6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559" w:type="dxa"/>
            <w:tcBorders>
              <w:top w:val="nil"/>
              <w:left w:val="nil"/>
              <w:bottom w:val="single" w:sz="4" w:space="0" w:color="auto"/>
              <w:right w:val="nil"/>
            </w:tcBorders>
            <w:noWrap/>
            <w:vAlign w:val="bottom"/>
            <w:hideMark/>
          </w:tcPr>
          <w:p w14:paraId="4A43707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843" w:type="dxa"/>
            <w:vMerge/>
            <w:tcBorders>
              <w:top w:val="nil"/>
              <w:left w:val="nil"/>
              <w:bottom w:val="nil"/>
              <w:right w:val="single" w:sz="4" w:space="0" w:color="auto"/>
            </w:tcBorders>
            <w:vAlign w:val="center"/>
            <w:hideMark/>
          </w:tcPr>
          <w:p w14:paraId="183DD85A" w14:textId="77777777" w:rsidR="000E15B7" w:rsidRPr="00EC5748" w:rsidRDefault="000E15B7" w:rsidP="00427297">
            <w:pPr>
              <w:jc w:val="center"/>
              <w:rPr>
                <w:rFonts w:eastAsia="Times New Roman"/>
                <w:color w:val="000000"/>
                <w:lang w:eastAsia="fr-CA"/>
              </w:rPr>
            </w:pPr>
          </w:p>
        </w:tc>
      </w:tr>
      <w:tr w:rsidR="000E15B7" w:rsidRPr="00EC5748" w14:paraId="1893116C" w14:textId="77777777" w:rsidTr="004E323E">
        <w:trPr>
          <w:trHeight w:val="288"/>
        </w:trPr>
        <w:tc>
          <w:tcPr>
            <w:tcW w:w="1985" w:type="dxa"/>
            <w:vMerge/>
            <w:tcBorders>
              <w:top w:val="nil"/>
              <w:left w:val="single" w:sz="4" w:space="0" w:color="auto"/>
              <w:right w:val="nil"/>
            </w:tcBorders>
            <w:vAlign w:val="center"/>
            <w:hideMark/>
          </w:tcPr>
          <w:p w14:paraId="30DFC498"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right w:val="nil"/>
            </w:tcBorders>
            <w:vAlign w:val="center"/>
            <w:hideMark/>
          </w:tcPr>
          <w:p w14:paraId="1385DA61"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111788F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275" w:type="dxa"/>
            <w:tcBorders>
              <w:top w:val="nil"/>
              <w:left w:val="nil"/>
              <w:bottom w:val="single" w:sz="4" w:space="0" w:color="auto"/>
              <w:right w:val="nil"/>
            </w:tcBorders>
            <w:noWrap/>
            <w:vAlign w:val="bottom"/>
            <w:hideMark/>
          </w:tcPr>
          <w:p w14:paraId="4EED46E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418" w:type="dxa"/>
            <w:tcBorders>
              <w:top w:val="nil"/>
              <w:left w:val="nil"/>
              <w:bottom w:val="single" w:sz="4" w:space="0" w:color="auto"/>
              <w:right w:val="nil"/>
            </w:tcBorders>
            <w:noWrap/>
            <w:vAlign w:val="bottom"/>
            <w:hideMark/>
          </w:tcPr>
          <w:p w14:paraId="7FC55B4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559" w:type="dxa"/>
            <w:tcBorders>
              <w:top w:val="nil"/>
              <w:left w:val="nil"/>
              <w:bottom w:val="single" w:sz="4" w:space="0" w:color="auto"/>
              <w:right w:val="nil"/>
            </w:tcBorders>
            <w:noWrap/>
            <w:vAlign w:val="bottom"/>
            <w:hideMark/>
          </w:tcPr>
          <w:p w14:paraId="514C042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843" w:type="dxa"/>
            <w:vMerge/>
            <w:tcBorders>
              <w:top w:val="nil"/>
              <w:left w:val="nil"/>
              <w:bottom w:val="single" w:sz="4" w:space="0" w:color="auto"/>
              <w:right w:val="single" w:sz="4" w:space="0" w:color="auto"/>
            </w:tcBorders>
            <w:vAlign w:val="center"/>
            <w:hideMark/>
          </w:tcPr>
          <w:p w14:paraId="6C47C665" w14:textId="77777777" w:rsidR="000E15B7" w:rsidRPr="00EC5748" w:rsidRDefault="000E15B7" w:rsidP="00427297">
            <w:pPr>
              <w:jc w:val="center"/>
              <w:rPr>
                <w:rFonts w:eastAsia="Times New Roman"/>
                <w:color w:val="000000"/>
                <w:lang w:eastAsia="fr-CA"/>
              </w:rPr>
            </w:pPr>
          </w:p>
        </w:tc>
      </w:tr>
      <w:tr w:rsidR="000E15B7" w:rsidRPr="00EC5748" w14:paraId="54103EE0" w14:textId="77777777" w:rsidTr="004E323E">
        <w:trPr>
          <w:trHeight w:val="288"/>
        </w:trPr>
        <w:tc>
          <w:tcPr>
            <w:tcW w:w="1985" w:type="dxa"/>
            <w:vMerge/>
            <w:tcBorders>
              <w:top w:val="nil"/>
              <w:left w:val="single" w:sz="4" w:space="0" w:color="auto"/>
              <w:bottom w:val="single" w:sz="4" w:space="0" w:color="auto"/>
              <w:right w:val="nil"/>
            </w:tcBorders>
            <w:vAlign w:val="center"/>
            <w:hideMark/>
          </w:tcPr>
          <w:p w14:paraId="5D10121B" w14:textId="77777777" w:rsidR="000E15B7" w:rsidRPr="00EC5748" w:rsidRDefault="000E15B7" w:rsidP="00EC5748">
            <w:pPr>
              <w:ind w:right="-70"/>
              <w:rPr>
                <w:rFonts w:eastAsia="Times New Roman"/>
                <w:i/>
                <w:iCs/>
                <w:color w:val="000000"/>
                <w:lang w:eastAsia="fr-CA"/>
              </w:rPr>
            </w:pPr>
          </w:p>
        </w:tc>
        <w:tc>
          <w:tcPr>
            <w:tcW w:w="1632" w:type="dxa"/>
            <w:vMerge/>
            <w:tcBorders>
              <w:top w:val="nil"/>
              <w:left w:val="nil"/>
              <w:bottom w:val="single" w:sz="4" w:space="0" w:color="auto"/>
              <w:right w:val="nil"/>
            </w:tcBorders>
            <w:vAlign w:val="center"/>
            <w:hideMark/>
          </w:tcPr>
          <w:p w14:paraId="4C9386A6" w14:textId="77777777" w:rsidR="000E15B7" w:rsidRPr="00EC5748" w:rsidRDefault="000E15B7" w:rsidP="00EC5748">
            <w:pPr>
              <w:rPr>
                <w:rFonts w:eastAsia="Times New Roman"/>
                <w:color w:val="000000"/>
                <w:lang w:eastAsia="fr-CA"/>
              </w:rPr>
            </w:pPr>
          </w:p>
        </w:tc>
        <w:tc>
          <w:tcPr>
            <w:tcW w:w="1345" w:type="dxa"/>
            <w:tcBorders>
              <w:top w:val="nil"/>
              <w:left w:val="nil"/>
              <w:bottom w:val="single" w:sz="4" w:space="0" w:color="auto"/>
              <w:right w:val="nil"/>
            </w:tcBorders>
            <w:vAlign w:val="center"/>
            <w:hideMark/>
          </w:tcPr>
          <w:p w14:paraId="52A17D4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275" w:type="dxa"/>
            <w:tcBorders>
              <w:top w:val="nil"/>
              <w:left w:val="nil"/>
              <w:bottom w:val="single" w:sz="4" w:space="0" w:color="auto"/>
              <w:right w:val="nil"/>
            </w:tcBorders>
            <w:noWrap/>
            <w:vAlign w:val="bottom"/>
            <w:hideMark/>
          </w:tcPr>
          <w:p w14:paraId="184FC0A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418" w:type="dxa"/>
            <w:tcBorders>
              <w:top w:val="nil"/>
              <w:left w:val="nil"/>
              <w:bottom w:val="single" w:sz="4" w:space="0" w:color="auto"/>
              <w:right w:val="nil"/>
            </w:tcBorders>
            <w:noWrap/>
            <w:vAlign w:val="bottom"/>
            <w:hideMark/>
          </w:tcPr>
          <w:p w14:paraId="469E481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559" w:type="dxa"/>
            <w:tcBorders>
              <w:top w:val="nil"/>
              <w:left w:val="nil"/>
              <w:bottom w:val="single" w:sz="4" w:space="0" w:color="auto"/>
              <w:right w:val="nil"/>
            </w:tcBorders>
            <w:noWrap/>
            <w:vAlign w:val="bottom"/>
            <w:hideMark/>
          </w:tcPr>
          <w:p w14:paraId="4140858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843" w:type="dxa"/>
            <w:tcBorders>
              <w:top w:val="single" w:sz="4" w:space="0" w:color="auto"/>
              <w:left w:val="nil"/>
              <w:bottom w:val="single" w:sz="4" w:space="0" w:color="auto"/>
              <w:right w:val="single" w:sz="4" w:space="0" w:color="auto"/>
            </w:tcBorders>
            <w:vAlign w:val="center"/>
            <w:hideMark/>
          </w:tcPr>
          <w:p w14:paraId="634E75F6" w14:textId="22B3AE2D"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bl>
    <w:p w14:paraId="0E48EF6B" w14:textId="77777777" w:rsidR="000E15B7" w:rsidRPr="00EC5748" w:rsidRDefault="000E15B7" w:rsidP="000E15B7">
      <w:pPr>
        <w:ind w:left="-1134"/>
        <w:jc w:val="both"/>
        <w:rPr>
          <w:b/>
          <w:bCs/>
        </w:rPr>
      </w:pPr>
    </w:p>
    <w:p w14:paraId="1F159FC2" w14:textId="77777777" w:rsidR="000E15B7" w:rsidRPr="00EC5748" w:rsidRDefault="000E15B7" w:rsidP="000E15B7">
      <w:pPr>
        <w:jc w:val="both"/>
        <w:rPr>
          <w:b/>
          <w:bCs/>
          <w:color w:val="709FDB" w:themeColor="text2" w:themeTint="80"/>
        </w:rPr>
      </w:pPr>
      <w:r w:rsidRPr="00EC5748">
        <w:rPr>
          <w:b/>
          <w:bCs/>
          <w:color w:val="709FDB" w:themeColor="text2" w:themeTint="80"/>
        </w:rPr>
        <w:t>- Vigne -</w:t>
      </w:r>
    </w:p>
    <w:tbl>
      <w:tblPr>
        <w:tblW w:w="11057" w:type="dxa"/>
        <w:tblInd w:w="-431" w:type="dxa"/>
        <w:tblCellMar>
          <w:left w:w="70" w:type="dxa"/>
          <w:right w:w="70" w:type="dxa"/>
        </w:tblCellMar>
        <w:tblLook w:val="04A0" w:firstRow="1" w:lastRow="0" w:firstColumn="1" w:lastColumn="0" w:noHBand="0" w:noVBand="1"/>
      </w:tblPr>
      <w:tblGrid>
        <w:gridCol w:w="1985"/>
        <w:gridCol w:w="1632"/>
        <w:gridCol w:w="260"/>
        <w:gridCol w:w="1463"/>
        <w:gridCol w:w="1119"/>
        <w:gridCol w:w="1418"/>
        <w:gridCol w:w="1417"/>
        <w:gridCol w:w="1763"/>
      </w:tblGrid>
      <w:tr w:rsidR="000E15B7" w:rsidRPr="00EC5748" w14:paraId="2694F945" w14:textId="77777777" w:rsidTr="004E323E">
        <w:trPr>
          <w:trHeight w:val="864"/>
        </w:trPr>
        <w:tc>
          <w:tcPr>
            <w:tcW w:w="1985" w:type="dxa"/>
            <w:tcBorders>
              <w:top w:val="single" w:sz="4" w:space="0" w:color="auto"/>
              <w:left w:val="single" w:sz="4" w:space="0" w:color="auto"/>
              <w:right w:val="single" w:sz="4" w:space="0" w:color="auto"/>
            </w:tcBorders>
            <w:shd w:val="clear" w:color="auto" w:fill="E1EBF7" w:themeFill="text2" w:themeFillTint="1A"/>
            <w:noWrap/>
            <w:vAlign w:val="center"/>
            <w:hideMark/>
          </w:tcPr>
          <w:p w14:paraId="1B9E9EAF" w14:textId="77777777" w:rsidR="000E15B7" w:rsidRPr="00EC5748" w:rsidRDefault="000E15B7" w:rsidP="00EC5748">
            <w:pPr>
              <w:jc w:val="center"/>
              <w:rPr>
                <w:rFonts w:eastAsia="Times New Roman"/>
                <w:b/>
                <w:bCs/>
                <w:lang w:eastAsia="fr-CA"/>
              </w:rPr>
            </w:pPr>
            <w:r w:rsidRPr="00EC5748">
              <w:rPr>
                <w:rFonts w:eastAsia="Times New Roman"/>
                <w:b/>
                <w:bCs/>
                <w:lang w:eastAsia="fr-CA"/>
              </w:rPr>
              <w:t>Champignon</w:t>
            </w:r>
          </w:p>
        </w:tc>
        <w:tc>
          <w:tcPr>
            <w:tcW w:w="1632"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2F3A64CF" w14:textId="77777777" w:rsidR="000E15B7" w:rsidRPr="00EC5748" w:rsidRDefault="000E15B7" w:rsidP="00EC5748">
            <w:pPr>
              <w:jc w:val="center"/>
              <w:rPr>
                <w:rFonts w:eastAsia="Times New Roman"/>
                <w:b/>
                <w:bCs/>
                <w:lang w:eastAsia="fr-CA"/>
              </w:rPr>
            </w:pPr>
            <w:r w:rsidRPr="00EC5748">
              <w:rPr>
                <w:rFonts w:eastAsia="Times New Roman"/>
                <w:b/>
                <w:bCs/>
                <w:lang w:eastAsia="fr-CA"/>
              </w:rPr>
              <w:t>Région administrative</w:t>
            </w:r>
          </w:p>
        </w:tc>
        <w:tc>
          <w:tcPr>
            <w:tcW w:w="1723" w:type="dxa"/>
            <w:gridSpan w:val="2"/>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6E3A2CBE" w14:textId="77777777" w:rsidR="000E15B7" w:rsidRPr="00EC5748" w:rsidRDefault="000E15B7" w:rsidP="00EC5748">
            <w:pPr>
              <w:jc w:val="center"/>
              <w:rPr>
                <w:rFonts w:eastAsia="Times New Roman"/>
                <w:b/>
                <w:bCs/>
                <w:lang w:eastAsia="fr-CA"/>
              </w:rPr>
            </w:pPr>
            <w:r w:rsidRPr="00EC5748">
              <w:rPr>
                <w:rFonts w:eastAsia="Times New Roman"/>
                <w:b/>
                <w:bCs/>
                <w:lang w:eastAsia="fr-CA"/>
              </w:rPr>
              <w:t>Groupe(s) de fongicides FRAC</w:t>
            </w:r>
          </w:p>
        </w:tc>
        <w:tc>
          <w:tcPr>
            <w:tcW w:w="1119"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48D3632B" w14:textId="77777777" w:rsidR="000E15B7" w:rsidRPr="00EC5748" w:rsidRDefault="000E15B7" w:rsidP="00EC5748">
            <w:pPr>
              <w:jc w:val="center"/>
              <w:rPr>
                <w:rFonts w:eastAsia="Times New Roman"/>
                <w:b/>
                <w:bCs/>
                <w:lang w:eastAsia="fr-CA"/>
              </w:rPr>
            </w:pPr>
            <w:r w:rsidRPr="00EC5748">
              <w:rPr>
                <w:rFonts w:eastAsia="Times New Roman"/>
                <w:b/>
                <w:bCs/>
                <w:lang w:eastAsia="fr-CA"/>
              </w:rPr>
              <w:t>Nombre de souches testées</w:t>
            </w:r>
          </w:p>
        </w:tc>
        <w:tc>
          <w:tcPr>
            <w:tcW w:w="1418"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7090430F" w14:textId="77777777" w:rsidR="000E15B7" w:rsidRPr="00EC5748" w:rsidRDefault="000E15B7" w:rsidP="00EC5748">
            <w:pPr>
              <w:jc w:val="center"/>
              <w:rPr>
                <w:rFonts w:eastAsia="Times New Roman"/>
                <w:b/>
                <w:bCs/>
                <w:lang w:eastAsia="fr-CA"/>
              </w:rPr>
            </w:pPr>
            <w:r w:rsidRPr="00EC5748">
              <w:rPr>
                <w:rFonts w:eastAsia="Times New Roman"/>
                <w:b/>
                <w:bCs/>
                <w:lang w:eastAsia="fr-CA"/>
              </w:rPr>
              <w:t>Nombre de souches résistantes</w:t>
            </w:r>
          </w:p>
        </w:tc>
        <w:tc>
          <w:tcPr>
            <w:tcW w:w="1417"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69697981" w14:textId="77777777" w:rsidR="000E15B7" w:rsidRPr="00EC5748" w:rsidRDefault="000E15B7" w:rsidP="00EC5748">
            <w:pPr>
              <w:jc w:val="center"/>
              <w:rPr>
                <w:rFonts w:eastAsia="Times New Roman"/>
                <w:b/>
                <w:bCs/>
                <w:lang w:eastAsia="fr-CA"/>
              </w:rPr>
            </w:pPr>
            <w:r w:rsidRPr="00EC5748">
              <w:rPr>
                <w:rFonts w:eastAsia="Times New Roman"/>
                <w:b/>
                <w:bCs/>
                <w:lang w:eastAsia="fr-CA"/>
              </w:rPr>
              <w:t>% des souches résistantes (groupe fongicide)</w:t>
            </w:r>
          </w:p>
        </w:tc>
        <w:tc>
          <w:tcPr>
            <w:tcW w:w="1763" w:type="dxa"/>
            <w:tcBorders>
              <w:top w:val="single" w:sz="4" w:space="0" w:color="auto"/>
              <w:left w:val="nil"/>
              <w:bottom w:val="single" w:sz="4" w:space="0" w:color="auto"/>
              <w:right w:val="single" w:sz="4" w:space="0" w:color="auto"/>
            </w:tcBorders>
            <w:shd w:val="clear" w:color="auto" w:fill="E1EBF7" w:themeFill="text2" w:themeFillTint="1A"/>
            <w:vAlign w:val="center"/>
            <w:hideMark/>
          </w:tcPr>
          <w:p w14:paraId="0E6728CD" w14:textId="77777777" w:rsidR="000E15B7" w:rsidRPr="00EC5748" w:rsidRDefault="000E15B7" w:rsidP="00427297">
            <w:pPr>
              <w:jc w:val="center"/>
              <w:rPr>
                <w:rFonts w:eastAsia="Times New Roman"/>
                <w:b/>
                <w:bCs/>
                <w:lang w:eastAsia="fr-CA"/>
              </w:rPr>
            </w:pPr>
            <w:r w:rsidRPr="00EC5748">
              <w:rPr>
                <w:rFonts w:eastAsia="Times New Roman"/>
                <w:b/>
                <w:bCs/>
                <w:lang w:eastAsia="fr-CA"/>
              </w:rPr>
              <w:t>% des souches résistantes à au moins un groupe de fongicide (région)</w:t>
            </w:r>
          </w:p>
        </w:tc>
      </w:tr>
      <w:tr w:rsidR="000E15B7" w:rsidRPr="00EC5748" w14:paraId="646CCB43" w14:textId="77777777" w:rsidTr="004E323E">
        <w:trPr>
          <w:trHeight w:val="288"/>
        </w:trPr>
        <w:tc>
          <w:tcPr>
            <w:tcW w:w="1985" w:type="dxa"/>
            <w:vMerge w:val="restart"/>
            <w:tcBorders>
              <w:left w:val="single" w:sz="4" w:space="0" w:color="auto"/>
              <w:right w:val="nil"/>
            </w:tcBorders>
            <w:vAlign w:val="center"/>
            <w:hideMark/>
          </w:tcPr>
          <w:p w14:paraId="3C2B99C5" w14:textId="77777777" w:rsidR="000E15B7" w:rsidRPr="00EC5748" w:rsidRDefault="000E15B7" w:rsidP="00EC5748">
            <w:pPr>
              <w:jc w:val="center"/>
              <w:rPr>
                <w:rFonts w:eastAsia="Times New Roman"/>
                <w:i/>
                <w:iCs/>
                <w:color w:val="000000"/>
                <w:lang w:eastAsia="fr-CA"/>
              </w:rPr>
            </w:pPr>
            <w:r w:rsidRPr="00EC5748">
              <w:rPr>
                <w:rFonts w:eastAsia="Times New Roman"/>
                <w:i/>
                <w:iCs/>
                <w:color w:val="000000"/>
                <w:lang w:eastAsia="fr-CA"/>
              </w:rPr>
              <w:t>Botrytis cinerea</w:t>
            </w:r>
          </w:p>
        </w:tc>
        <w:tc>
          <w:tcPr>
            <w:tcW w:w="1892" w:type="dxa"/>
            <w:gridSpan w:val="2"/>
            <w:vMerge w:val="restart"/>
            <w:tcBorders>
              <w:top w:val="nil"/>
              <w:left w:val="nil"/>
              <w:bottom w:val="single" w:sz="4" w:space="0" w:color="000000"/>
              <w:right w:val="nil"/>
            </w:tcBorders>
            <w:vAlign w:val="center"/>
            <w:hideMark/>
          </w:tcPr>
          <w:p w14:paraId="6FB6DBE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Laurentides</w:t>
            </w:r>
          </w:p>
        </w:tc>
        <w:tc>
          <w:tcPr>
            <w:tcW w:w="1463" w:type="dxa"/>
            <w:tcBorders>
              <w:top w:val="nil"/>
              <w:left w:val="nil"/>
              <w:bottom w:val="single" w:sz="4" w:space="0" w:color="auto"/>
              <w:right w:val="nil"/>
            </w:tcBorders>
            <w:vAlign w:val="center"/>
            <w:hideMark/>
          </w:tcPr>
          <w:p w14:paraId="551F15B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119" w:type="dxa"/>
            <w:tcBorders>
              <w:top w:val="nil"/>
              <w:left w:val="nil"/>
              <w:bottom w:val="single" w:sz="4" w:space="0" w:color="auto"/>
              <w:right w:val="nil"/>
            </w:tcBorders>
            <w:vAlign w:val="center"/>
            <w:hideMark/>
          </w:tcPr>
          <w:p w14:paraId="2491F85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418" w:type="dxa"/>
            <w:tcBorders>
              <w:top w:val="nil"/>
              <w:left w:val="nil"/>
              <w:bottom w:val="single" w:sz="4" w:space="0" w:color="auto"/>
              <w:right w:val="nil"/>
            </w:tcBorders>
            <w:vAlign w:val="center"/>
            <w:hideMark/>
          </w:tcPr>
          <w:p w14:paraId="0EF1AF3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417" w:type="dxa"/>
            <w:tcBorders>
              <w:top w:val="nil"/>
              <w:left w:val="nil"/>
              <w:bottom w:val="single" w:sz="4" w:space="0" w:color="auto"/>
              <w:right w:val="nil"/>
            </w:tcBorders>
            <w:vAlign w:val="center"/>
            <w:hideMark/>
          </w:tcPr>
          <w:p w14:paraId="68DAFFD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33,3</w:t>
            </w:r>
          </w:p>
        </w:tc>
        <w:tc>
          <w:tcPr>
            <w:tcW w:w="1763" w:type="dxa"/>
            <w:vMerge w:val="restart"/>
            <w:tcBorders>
              <w:top w:val="nil"/>
              <w:left w:val="nil"/>
              <w:bottom w:val="nil"/>
              <w:right w:val="single" w:sz="4" w:space="0" w:color="auto"/>
            </w:tcBorders>
            <w:vAlign w:val="center"/>
            <w:hideMark/>
          </w:tcPr>
          <w:p w14:paraId="34957315"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100</w:t>
            </w:r>
          </w:p>
        </w:tc>
      </w:tr>
      <w:tr w:rsidR="000E15B7" w:rsidRPr="00EC5748" w14:paraId="7CDA48F3" w14:textId="77777777" w:rsidTr="004E323E">
        <w:trPr>
          <w:trHeight w:val="288"/>
        </w:trPr>
        <w:tc>
          <w:tcPr>
            <w:tcW w:w="1985" w:type="dxa"/>
            <w:vMerge/>
            <w:tcBorders>
              <w:left w:val="single" w:sz="4" w:space="0" w:color="auto"/>
              <w:right w:val="nil"/>
            </w:tcBorders>
            <w:vAlign w:val="center"/>
            <w:hideMark/>
          </w:tcPr>
          <w:p w14:paraId="3CBEB2FD"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7AE57217"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4F56E8E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119" w:type="dxa"/>
            <w:tcBorders>
              <w:top w:val="nil"/>
              <w:left w:val="nil"/>
              <w:bottom w:val="single" w:sz="4" w:space="0" w:color="auto"/>
              <w:right w:val="nil"/>
            </w:tcBorders>
            <w:vAlign w:val="center"/>
            <w:hideMark/>
          </w:tcPr>
          <w:p w14:paraId="5432764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w:t>
            </w:r>
          </w:p>
        </w:tc>
        <w:tc>
          <w:tcPr>
            <w:tcW w:w="1418" w:type="dxa"/>
            <w:tcBorders>
              <w:top w:val="nil"/>
              <w:left w:val="nil"/>
              <w:bottom w:val="single" w:sz="4" w:space="0" w:color="auto"/>
              <w:right w:val="nil"/>
            </w:tcBorders>
            <w:vAlign w:val="center"/>
            <w:hideMark/>
          </w:tcPr>
          <w:p w14:paraId="2EF08C1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w:t>
            </w:r>
          </w:p>
        </w:tc>
        <w:tc>
          <w:tcPr>
            <w:tcW w:w="1417" w:type="dxa"/>
            <w:tcBorders>
              <w:top w:val="nil"/>
              <w:left w:val="nil"/>
              <w:bottom w:val="single" w:sz="4" w:space="0" w:color="auto"/>
              <w:right w:val="nil"/>
            </w:tcBorders>
            <w:vAlign w:val="center"/>
            <w:hideMark/>
          </w:tcPr>
          <w:p w14:paraId="5D3BF3D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763" w:type="dxa"/>
            <w:vMerge/>
            <w:tcBorders>
              <w:top w:val="nil"/>
              <w:left w:val="nil"/>
              <w:bottom w:val="nil"/>
              <w:right w:val="single" w:sz="4" w:space="0" w:color="auto"/>
            </w:tcBorders>
            <w:vAlign w:val="center"/>
            <w:hideMark/>
          </w:tcPr>
          <w:p w14:paraId="6006B854" w14:textId="77777777" w:rsidR="000E15B7" w:rsidRPr="00EC5748" w:rsidRDefault="000E15B7" w:rsidP="00427297">
            <w:pPr>
              <w:jc w:val="center"/>
              <w:rPr>
                <w:rFonts w:eastAsia="Times New Roman"/>
                <w:color w:val="000000"/>
                <w:lang w:eastAsia="fr-CA"/>
              </w:rPr>
            </w:pPr>
          </w:p>
        </w:tc>
      </w:tr>
      <w:tr w:rsidR="000E15B7" w:rsidRPr="00EC5748" w14:paraId="0612BC5A" w14:textId="77777777" w:rsidTr="004E323E">
        <w:trPr>
          <w:trHeight w:val="288"/>
        </w:trPr>
        <w:tc>
          <w:tcPr>
            <w:tcW w:w="1985" w:type="dxa"/>
            <w:vMerge/>
            <w:tcBorders>
              <w:left w:val="single" w:sz="4" w:space="0" w:color="auto"/>
              <w:right w:val="nil"/>
            </w:tcBorders>
            <w:vAlign w:val="center"/>
            <w:hideMark/>
          </w:tcPr>
          <w:p w14:paraId="5D2D9BB2"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39BADA99"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5060FEB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119" w:type="dxa"/>
            <w:tcBorders>
              <w:top w:val="nil"/>
              <w:left w:val="nil"/>
              <w:bottom w:val="single" w:sz="4" w:space="0" w:color="auto"/>
              <w:right w:val="nil"/>
            </w:tcBorders>
            <w:vAlign w:val="center"/>
            <w:hideMark/>
          </w:tcPr>
          <w:p w14:paraId="34198CB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418" w:type="dxa"/>
            <w:tcBorders>
              <w:top w:val="nil"/>
              <w:left w:val="nil"/>
              <w:bottom w:val="single" w:sz="4" w:space="0" w:color="auto"/>
              <w:right w:val="nil"/>
            </w:tcBorders>
            <w:vAlign w:val="center"/>
            <w:hideMark/>
          </w:tcPr>
          <w:p w14:paraId="53387CE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417" w:type="dxa"/>
            <w:tcBorders>
              <w:top w:val="nil"/>
              <w:left w:val="nil"/>
              <w:bottom w:val="single" w:sz="4" w:space="0" w:color="auto"/>
              <w:right w:val="nil"/>
            </w:tcBorders>
            <w:vAlign w:val="center"/>
            <w:hideMark/>
          </w:tcPr>
          <w:p w14:paraId="391CB91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763" w:type="dxa"/>
            <w:vMerge/>
            <w:tcBorders>
              <w:top w:val="nil"/>
              <w:left w:val="nil"/>
              <w:bottom w:val="nil"/>
              <w:right w:val="single" w:sz="4" w:space="0" w:color="auto"/>
            </w:tcBorders>
            <w:vAlign w:val="center"/>
            <w:hideMark/>
          </w:tcPr>
          <w:p w14:paraId="1DF61F12" w14:textId="77777777" w:rsidR="000E15B7" w:rsidRPr="00EC5748" w:rsidRDefault="000E15B7" w:rsidP="00427297">
            <w:pPr>
              <w:jc w:val="center"/>
              <w:rPr>
                <w:rFonts w:eastAsia="Times New Roman"/>
                <w:color w:val="000000"/>
                <w:lang w:eastAsia="fr-CA"/>
              </w:rPr>
            </w:pPr>
          </w:p>
        </w:tc>
      </w:tr>
      <w:tr w:rsidR="000E15B7" w:rsidRPr="00EC5748" w14:paraId="4A6607EE" w14:textId="77777777" w:rsidTr="004E323E">
        <w:trPr>
          <w:trHeight w:val="288"/>
        </w:trPr>
        <w:tc>
          <w:tcPr>
            <w:tcW w:w="1985" w:type="dxa"/>
            <w:vMerge/>
            <w:tcBorders>
              <w:left w:val="single" w:sz="4" w:space="0" w:color="auto"/>
              <w:right w:val="nil"/>
            </w:tcBorders>
            <w:vAlign w:val="center"/>
            <w:hideMark/>
          </w:tcPr>
          <w:p w14:paraId="17D06EC3"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3235ECCF"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59CA7CF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119" w:type="dxa"/>
            <w:tcBorders>
              <w:top w:val="nil"/>
              <w:left w:val="nil"/>
              <w:bottom w:val="single" w:sz="4" w:space="0" w:color="auto"/>
              <w:right w:val="nil"/>
            </w:tcBorders>
            <w:vAlign w:val="center"/>
            <w:hideMark/>
          </w:tcPr>
          <w:p w14:paraId="4829F42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418" w:type="dxa"/>
            <w:tcBorders>
              <w:top w:val="nil"/>
              <w:left w:val="nil"/>
              <w:bottom w:val="single" w:sz="4" w:space="0" w:color="auto"/>
              <w:right w:val="nil"/>
            </w:tcBorders>
            <w:vAlign w:val="center"/>
            <w:hideMark/>
          </w:tcPr>
          <w:p w14:paraId="0C88CB9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vAlign w:val="center"/>
            <w:hideMark/>
          </w:tcPr>
          <w:p w14:paraId="76F6717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63" w:type="dxa"/>
            <w:vMerge/>
            <w:tcBorders>
              <w:top w:val="nil"/>
              <w:left w:val="nil"/>
              <w:bottom w:val="single" w:sz="4" w:space="0" w:color="auto"/>
              <w:right w:val="single" w:sz="4" w:space="0" w:color="auto"/>
            </w:tcBorders>
            <w:vAlign w:val="center"/>
            <w:hideMark/>
          </w:tcPr>
          <w:p w14:paraId="676C8CE4" w14:textId="77777777" w:rsidR="000E15B7" w:rsidRPr="00EC5748" w:rsidRDefault="000E15B7" w:rsidP="00427297">
            <w:pPr>
              <w:jc w:val="center"/>
              <w:rPr>
                <w:rFonts w:eastAsia="Times New Roman"/>
                <w:color w:val="000000"/>
                <w:lang w:eastAsia="fr-CA"/>
              </w:rPr>
            </w:pPr>
          </w:p>
        </w:tc>
      </w:tr>
      <w:tr w:rsidR="000E15B7" w:rsidRPr="00EC5748" w14:paraId="5C46B607" w14:textId="77777777" w:rsidTr="004E323E">
        <w:trPr>
          <w:trHeight w:val="288"/>
        </w:trPr>
        <w:tc>
          <w:tcPr>
            <w:tcW w:w="1985" w:type="dxa"/>
            <w:vMerge/>
            <w:tcBorders>
              <w:left w:val="single" w:sz="4" w:space="0" w:color="auto"/>
              <w:right w:val="nil"/>
            </w:tcBorders>
            <w:vAlign w:val="center"/>
            <w:hideMark/>
          </w:tcPr>
          <w:p w14:paraId="474B0E07"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2565F0D8"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52D5613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119" w:type="dxa"/>
            <w:tcBorders>
              <w:top w:val="nil"/>
              <w:left w:val="nil"/>
              <w:bottom w:val="single" w:sz="4" w:space="0" w:color="auto"/>
              <w:right w:val="nil"/>
            </w:tcBorders>
            <w:vAlign w:val="center"/>
            <w:hideMark/>
          </w:tcPr>
          <w:p w14:paraId="5EFE5CA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w:t>
            </w:r>
          </w:p>
        </w:tc>
        <w:tc>
          <w:tcPr>
            <w:tcW w:w="1418" w:type="dxa"/>
            <w:tcBorders>
              <w:top w:val="nil"/>
              <w:left w:val="nil"/>
              <w:bottom w:val="single" w:sz="4" w:space="0" w:color="auto"/>
              <w:right w:val="nil"/>
            </w:tcBorders>
            <w:vAlign w:val="center"/>
            <w:hideMark/>
          </w:tcPr>
          <w:p w14:paraId="5F357A4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vAlign w:val="center"/>
            <w:hideMark/>
          </w:tcPr>
          <w:p w14:paraId="21A139E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63" w:type="dxa"/>
            <w:tcBorders>
              <w:top w:val="single" w:sz="4" w:space="0" w:color="auto"/>
              <w:left w:val="nil"/>
              <w:bottom w:val="single" w:sz="4" w:space="0" w:color="auto"/>
              <w:right w:val="single" w:sz="4" w:space="0" w:color="auto"/>
            </w:tcBorders>
            <w:vAlign w:val="center"/>
            <w:hideMark/>
          </w:tcPr>
          <w:p w14:paraId="41365424" w14:textId="1E4B5620"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054A3CFF" w14:textId="77777777" w:rsidTr="004E323E">
        <w:trPr>
          <w:trHeight w:val="288"/>
        </w:trPr>
        <w:tc>
          <w:tcPr>
            <w:tcW w:w="1985" w:type="dxa"/>
            <w:vMerge/>
            <w:tcBorders>
              <w:left w:val="single" w:sz="4" w:space="0" w:color="auto"/>
              <w:right w:val="nil"/>
            </w:tcBorders>
            <w:vAlign w:val="center"/>
            <w:hideMark/>
          </w:tcPr>
          <w:p w14:paraId="1FC2194A" w14:textId="77777777" w:rsidR="000E15B7" w:rsidRPr="00EC5748" w:rsidRDefault="000E15B7" w:rsidP="00EC5748">
            <w:pPr>
              <w:rPr>
                <w:rFonts w:eastAsia="Times New Roman"/>
                <w:i/>
                <w:iCs/>
                <w:color w:val="000000"/>
                <w:lang w:eastAsia="fr-CA"/>
              </w:rPr>
            </w:pPr>
          </w:p>
        </w:tc>
        <w:tc>
          <w:tcPr>
            <w:tcW w:w="1892" w:type="dxa"/>
            <w:gridSpan w:val="2"/>
            <w:vMerge w:val="restart"/>
            <w:tcBorders>
              <w:top w:val="nil"/>
              <w:left w:val="nil"/>
              <w:bottom w:val="single" w:sz="4" w:space="0" w:color="000000"/>
              <w:right w:val="nil"/>
            </w:tcBorders>
            <w:vAlign w:val="center"/>
            <w:hideMark/>
          </w:tcPr>
          <w:p w14:paraId="7450F13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Estrie</w:t>
            </w:r>
          </w:p>
        </w:tc>
        <w:tc>
          <w:tcPr>
            <w:tcW w:w="1463" w:type="dxa"/>
            <w:tcBorders>
              <w:top w:val="nil"/>
              <w:left w:val="nil"/>
              <w:bottom w:val="single" w:sz="4" w:space="0" w:color="auto"/>
              <w:right w:val="nil"/>
            </w:tcBorders>
            <w:vAlign w:val="center"/>
            <w:hideMark/>
          </w:tcPr>
          <w:p w14:paraId="6041BF5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119" w:type="dxa"/>
            <w:tcBorders>
              <w:top w:val="nil"/>
              <w:left w:val="nil"/>
              <w:bottom w:val="single" w:sz="4" w:space="0" w:color="auto"/>
              <w:right w:val="nil"/>
            </w:tcBorders>
            <w:vAlign w:val="center"/>
            <w:hideMark/>
          </w:tcPr>
          <w:p w14:paraId="55554A1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418" w:type="dxa"/>
            <w:tcBorders>
              <w:top w:val="nil"/>
              <w:left w:val="nil"/>
              <w:bottom w:val="single" w:sz="4" w:space="0" w:color="auto"/>
              <w:right w:val="nil"/>
            </w:tcBorders>
            <w:vAlign w:val="center"/>
            <w:hideMark/>
          </w:tcPr>
          <w:p w14:paraId="440808A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417" w:type="dxa"/>
            <w:tcBorders>
              <w:top w:val="nil"/>
              <w:left w:val="nil"/>
              <w:bottom w:val="single" w:sz="4" w:space="0" w:color="auto"/>
              <w:right w:val="nil"/>
            </w:tcBorders>
            <w:vAlign w:val="center"/>
            <w:hideMark/>
          </w:tcPr>
          <w:p w14:paraId="0340E6A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33,3</w:t>
            </w:r>
          </w:p>
        </w:tc>
        <w:tc>
          <w:tcPr>
            <w:tcW w:w="1763" w:type="dxa"/>
            <w:vMerge w:val="restart"/>
            <w:tcBorders>
              <w:top w:val="nil"/>
              <w:left w:val="nil"/>
              <w:bottom w:val="nil"/>
              <w:right w:val="single" w:sz="4" w:space="0" w:color="auto"/>
            </w:tcBorders>
            <w:vAlign w:val="center"/>
            <w:hideMark/>
          </w:tcPr>
          <w:p w14:paraId="6BDC80E8"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100</w:t>
            </w:r>
          </w:p>
        </w:tc>
      </w:tr>
      <w:tr w:rsidR="000E15B7" w:rsidRPr="00EC5748" w14:paraId="3E271D85" w14:textId="77777777" w:rsidTr="004E323E">
        <w:trPr>
          <w:trHeight w:val="288"/>
        </w:trPr>
        <w:tc>
          <w:tcPr>
            <w:tcW w:w="1985" w:type="dxa"/>
            <w:vMerge/>
            <w:tcBorders>
              <w:left w:val="single" w:sz="4" w:space="0" w:color="auto"/>
              <w:right w:val="nil"/>
            </w:tcBorders>
            <w:vAlign w:val="center"/>
            <w:hideMark/>
          </w:tcPr>
          <w:p w14:paraId="0C12BEA8"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4628F977"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2CF71A2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119" w:type="dxa"/>
            <w:tcBorders>
              <w:top w:val="nil"/>
              <w:left w:val="nil"/>
              <w:bottom w:val="single" w:sz="4" w:space="0" w:color="auto"/>
              <w:right w:val="nil"/>
            </w:tcBorders>
            <w:vAlign w:val="center"/>
            <w:hideMark/>
          </w:tcPr>
          <w:p w14:paraId="1EB4294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418" w:type="dxa"/>
            <w:tcBorders>
              <w:top w:val="nil"/>
              <w:left w:val="nil"/>
              <w:bottom w:val="single" w:sz="4" w:space="0" w:color="auto"/>
              <w:right w:val="nil"/>
            </w:tcBorders>
            <w:vAlign w:val="center"/>
            <w:hideMark/>
          </w:tcPr>
          <w:p w14:paraId="00A08F7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417" w:type="dxa"/>
            <w:tcBorders>
              <w:top w:val="nil"/>
              <w:left w:val="nil"/>
              <w:bottom w:val="single" w:sz="4" w:space="0" w:color="auto"/>
              <w:right w:val="nil"/>
            </w:tcBorders>
            <w:vAlign w:val="center"/>
            <w:hideMark/>
          </w:tcPr>
          <w:p w14:paraId="2AABA53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66,7</w:t>
            </w:r>
          </w:p>
        </w:tc>
        <w:tc>
          <w:tcPr>
            <w:tcW w:w="1763" w:type="dxa"/>
            <w:vMerge/>
            <w:tcBorders>
              <w:top w:val="nil"/>
              <w:left w:val="nil"/>
              <w:bottom w:val="nil"/>
              <w:right w:val="single" w:sz="4" w:space="0" w:color="auto"/>
            </w:tcBorders>
            <w:vAlign w:val="center"/>
            <w:hideMark/>
          </w:tcPr>
          <w:p w14:paraId="15ECF2B1" w14:textId="77777777" w:rsidR="000E15B7" w:rsidRPr="00EC5748" w:rsidRDefault="000E15B7" w:rsidP="00427297">
            <w:pPr>
              <w:jc w:val="center"/>
              <w:rPr>
                <w:rFonts w:eastAsia="Times New Roman"/>
                <w:color w:val="000000"/>
                <w:lang w:eastAsia="fr-CA"/>
              </w:rPr>
            </w:pPr>
          </w:p>
        </w:tc>
      </w:tr>
      <w:tr w:rsidR="000E15B7" w:rsidRPr="00EC5748" w14:paraId="70111E58" w14:textId="77777777" w:rsidTr="004E323E">
        <w:trPr>
          <w:trHeight w:val="288"/>
        </w:trPr>
        <w:tc>
          <w:tcPr>
            <w:tcW w:w="1985" w:type="dxa"/>
            <w:vMerge/>
            <w:tcBorders>
              <w:left w:val="single" w:sz="4" w:space="0" w:color="auto"/>
              <w:right w:val="nil"/>
            </w:tcBorders>
            <w:vAlign w:val="center"/>
            <w:hideMark/>
          </w:tcPr>
          <w:p w14:paraId="7DA455C3"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247B054A"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1E86ADA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119" w:type="dxa"/>
            <w:tcBorders>
              <w:top w:val="nil"/>
              <w:left w:val="nil"/>
              <w:bottom w:val="single" w:sz="4" w:space="0" w:color="auto"/>
              <w:right w:val="nil"/>
            </w:tcBorders>
            <w:vAlign w:val="center"/>
            <w:hideMark/>
          </w:tcPr>
          <w:p w14:paraId="2FC04A8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418" w:type="dxa"/>
            <w:tcBorders>
              <w:top w:val="nil"/>
              <w:left w:val="nil"/>
              <w:bottom w:val="single" w:sz="4" w:space="0" w:color="auto"/>
              <w:right w:val="nil"/>
            </w:tcBorders>
            <w:vAlign w:val="center"/>
            <w:hideMark/>
          </w:tcPr>
          <w:p w14:paraId="7EF8616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417" w:type="dxa"/>
            <w:tcBorders>
              <w:top w:val="nil"/>
              <w:left w:val="nil"/>
              <w:bottom w:val="single" w:sz="4" w:space="0" w:color="auto"/>
              <w:right w:val="nil"/>
            </w:tcBorders>
            <w:vAlign w:val="center"/>
            <w:hideMark/>
          </w:tcPr>
          <w:p w14:paraId="19BE95E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763" w:type="dxa"/>
            <w:vMerge/>
            <w:tcBorders>
              <w:top w:val="nil"/>
              <w:left w:val="nil"/>
              <w:bottom w:val="nil"/>
              <w:right w:val="single" w:sz="4" w:space="0" w:color="auto"/>
            </w:tcBorders>
            <w:vAlign w:val="center"/>
            <w:hideMark/>
          </w:tcPr>
          <w:p w14:paraId="3F886ED8" w14:textId="77777777" w:rsidR="000E15B7" w:rsidRPr="00EC5748" w:rsidRDefault="000E15B7" w:rsidP="00427297">
            <w:pPr>
              <w:jc w:val="center"/>
              <w:rPr>
                <w:rFonts w:eastAsia="Times New Roman"/>
                <w:color w:val="000000"/>
                <w:lang w:eastAsia="fr-CA"/>
              </w:rPr>
            </w:pPr>
          </w:p>
        </w:tc>
      </w:tr>
      <w:tr w:rsidR="000E15B7" w:rsidRPr="00EC5748" w14:paraId="482C1953" w14:textId="77777777" w:rsidTr="004E323E">
        <w:trPr>
          <w:trHeight w:val="288"/>
        </w:trPr>
        <w:tc>
          <w:tcPr>
            <w:tcW w:w="1985" w:type="dxa"/>
            <w:vMerge/>
            <w:tcBorders>
              <w:left w:val="single" w:sz="4" w:space="0" w:color="auto"/>
              <w:right w:val="nil"/>
            </w:tcBorders>
            <w:vAlign w:val="center"/>
            <w:hideMark/>
          </w:tcPr>
          <w:p w14:paraId="5BC619EB"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59DD2143"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1351FFD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119" w:type="dxa"/>
            <w:tcBorders>
              <w:top w:val="nil"/>
              <w:left w:val="nil"/>
              <w:bottom w:val="single" w:sz="4" w:space="0" w:color="auto"/>
              <w:right w:val="nil"/>
            </w:tcBorders>
            <w:vAlign w:val="center"/>
            <w:hideMark/>
          </w:tcPr>
          <w:p w14:paraId="4BD01E7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418" w:type="dxa"/>
            <w:tcBorders>
              <w:top w:val="nil"/>
              <w:left w:val="nil"/>
              <w:bottom w:val="single" w:sz="4" w:space="0" w:color="auto"/>
              <w:right w:val="nil"/>
            </w:tcBorders>
            <w:vAlign w:val="center"/>
            <w:hideMark/>
          </w:tcPr>
          <w:p w14:paraId="0A2E7D4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vAlign w:val="center"/>
            <w:hideMark/>
          </w:tcPr>
          <w:p w14:paraId="3488B46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63" w:type="dxa"/>
            <w:vMerge/>
            <w:tcBorders>
              <w:top w:val="nil"/>
              <w:left w:val="nil"/>
              <w:bottom w:val="single" w:sz="4" w:space="0" w:color="auto"/>
              <w:right w:val="single" w:sz="4" w:space="0" w:color="auto"/>
            </w:tcBorders>
            <w:vAlign w:val="center"/>
            <w:hideMark/>
          </w:tcPr>
          <w:p w14:paraId="7B7EBD2B" w14:textId="77777777" w:rsidR="000E15B7" w:rsidRPr="00EC5748" w:rsidRDefault="000E15B7" w:rsidP="00427297">
            <w:pPr>
              <w:jc w:val="center"/>
              <w:rPr>
                <w:rFonts w:eastAsia="Times New Roman"/>
                <w:color w:val="000000"/>
                <w:lang w:eastAsia="fr-CA"/>
              </w:rPr>
            </w:pPr>
          </w:p>
        </w:tc>
      </w:tr>
      <w:tr w:rsidR="000E15B7" w:rsidRPr="00EC5748" w14:paraId="4C926417" w14:textId="77777777" w:rsidTr="004E323E">
        <w:trPr>
          <w:trHeight w:val="288"/>
        </w:trPr>
        <w:tc>
          <w:tcPr>
            <w:tcW w:w="1985" w:type="dxa"/>
            <w:vMerge/>
            <w:tcBorders>
              <w:left w:val="single" w:sz="4" w:space="0" w:color="auto"/>
              <w:right w:val="nil"/>
            </w:tcBorders>
            <w:vAlign w:val="center"/>
            <w:hideMark/>
          </w:tcPr>
          <w:p w14:paraId="5ED464FC"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1532FD9A"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6037BF8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119" w:type="dxa"/>
            <w:tcBorders>
              <w:top w:val="nil"/>
              <w:left w:val="nil"/>
              <w:bottom w:val="single" w:sz="4" w:space="0" w:color="auto"/>
              <w:right w:val="nil"/>
            </w:tcBorders>
            <w:vAlign w:val="center"/>
            <w:hideMark/>
          </w:tcPr>
          <w:p w14:paraId="55BC96C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w:t>
            </w:r>
          </w:p>
        </w:tc>
        <w:tc>
          <w:tcPr>
            <w:tcW w:w="1418" w:type="dxa"/>
            <w:tcBorders>
              <w:top w:val="nil"/>
              <w:left w:val="nil"/>
              <w:bottom w:val="single" w:sz="4" w:space="0" w:color="auto"/>
              <w:right w:val="nil"/>
            </w:tcBorders>
            <w:vAlign w:val="center"/>
            <w:hideMark/>
          </w:tcPr>
          <w:p w14:paraId="3EF15B9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vAlign w:val="center"/>
            <w:hideMark/>
          </w:tcPr>
          <w:p w14:paraId="4C5356A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63" w:type="dxa"/>
            <w:tcBorders>
              <w:top w:val="single" w:sz="4" w:space="0" w:color="auto"/>
              <w:left w:val="nil"/>
              <w:bottom w:val="single" w:sz="4" w:space="0" w:color="auto"/>
              <w:right w:val="single" w:sz="4" w:space="0" w:color="auto"/>
            </w:tcBorders>
            <w:vAlign w:val="center"/>
            <w:hideMark/>
          </w:tcPr>
          <w:p w14:paraId="3430BB68" w14:textId="1FCF95BD"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1CF95F8E" w14:textId="77777777" w:rsidTr="004E323E">
        <w:trPr>
          <w:trHeight w:val="288"/>
        </w:trPr>
        <w:tc>
          <w:tcPr>
            <w:tcW w:w="1985" w:type="dxa"/>
            <w:vMerge/>
            <w:tcBorders>
              <w:left w:val="single" w:sz="4" w:space="0" w:color="auto"/>
              <w:right w:val="nil"/>
            </w:tcBorders>
            <w:vAlign w:val="center"/>
            <w:hideMark/>
          </w:tcPr>
          <w:p w14:paraId="2716A1FF" w14:textId="77777777" w:rsidR="000E15B7" w:rsidRPr="00EC5748" w:rsidRDefault="000E15B7" w:rsidP="00EC5748">
            <w:pPr>
              <w:rPr>
                <w:rFonts w:eastAsia="Times New Roman"/>
                <w:i/>
                <w:iCs/>
                <w:color w:val="000000"/>
                <w:lang w:eastAsia="fr-CA"/>
              </w:rPr>
            </w:pPr>
          </w:p>
        </w:tc>
        <w:tc>
          <w:tcPr>
            <w:tcW w:w="1892" w:type="dxa"/>
            <w:gridSpan w:val="2"/>
            <w:vMerge w:val="restart"/>
            <w:tcBorders>
              <w:top w:val="nil"/>
              <w:left w:val="nil"/>
              <w:bottom w:val="single" w:sz="4" w:space="0" w:color="000000"/>
              <w:right w:val="nil"/>
            </w:tcBorders>
            <w:vAlign w:val="center"/>
            <w:hideMark/>
          </w:tcPr>
          <w:p w14:paraId="2A516CB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Capitale-Nationale</w:t>
            </w:r>
          </w:p>
        </w:tc>
        <w:tc>
          <w:tcPr>
            <w:tcW w:w="1463" w:type="dxa"/>
            <w:tcBorders>
              <w:top w:val="nil"/>
              <w:left w:val="nil"/>
              <w:bottom w:val="single" w:sz="4" w:space="0" w:color="auto"/>
              <w:right w:val="nil"/>
            </w:tcBorders>
            <w:vAlign w:val="center"/>
            <w:hideMark/>
          </w:tcPr>
          <w:p w14:paraId="10C52B8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119" w:type="dxa"/>
            <w:tcBorders>
              <w:top w:val="nil"/>
              <w:left w:val="nil"/>
              <w:bottom w:val="single" w:sz="4" w:space="0" w:color="auto"/>
              <w:right w:val="nil"/>
            </w:tcBorders>
            <w:vAlign w:val="center"/>
            <w:hideMark/>
          </w:tcPr>
          <w:p w14:paraId="7722F17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418" w:type="dxa"/>
            <w:tcBorders>
              <w:top w:val="nil"/>
              <w:left w:val="nil"/>
              <w:bottom w:val="single" w:sz="4" w:space="0" w:color="auto"/>
              <w:right w:val="nil"/>
            </w:tcBorders>
            <w:vAlign w:val="center"/>
            <w:hideMark/>
          </w:tcPr>
          <w:p w14:paraId="1295666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417" w:type="dxa"/>
            <w:tcBorders>
              <w:top w:val="nil"/>
              <w:left w:val="nil"/>
              <w:bottom w:val="single" w:sz="4" w:space="0" w:color="auto"/>
              <w:right w:val="nil"/>
            </w:tcBorders>
            <w:vAlign w:val="center"/>
            <w:hideMark/>
          </w:tcPr>
          <w:p w14:paraId="0885412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763" w:type="dxa"/>
            <w:vMerge w:val="restart"/>
            <w:tcBorders>
              <w:top w:val="nil"/>
              <w:left w:val="nil"/>
              <w:bottom w:val="nil"/>
              <w:right w:val="single" w:sz="4" w:space="0" w:color="auto"/>
            </w:tcBorders>
            <w:vAlign w:val="center"/>
            <w:hideMark/>
          </w:tcPr>
          <w:p w14:paraId="7B2030B4"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100</w:t>
            </w:r>
          </w:p>
        </w:tc>
      </w:tr>
      <w:tr w:rsidR="000E15B7" w:rsidRPr="00EC5748" w14:paraId="2E8C3AED" w14:textId="77777777" w:rsidTr="004E323E">
        <w:trPr>
          <w:trHeight w:val="288"/>
        </w:trPr>
        <w:tc>
          <w:tcPr>
            <w:tcW w:w="1985" w:type="dxa"/>
            <w:vMerge/>
            <w:tcBorders>
              <w:left w:val="single" w:sz="4" w:space="0" w:color="auto"/>
              <w:right w:val="nil"/>
            </w:tcBorders>
            <w:vAlign w:val="center"/>
            <w:hideMark/>
          </w:tcPr>
          <w:p w14:paraId="25D38F4C"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402D1FBD"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1E277A4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119" w:type="dxa"/>
            <w:tcBorders>
              <w:top w:val="nil"/>
              <w:left w:val="nil"/>
              <w:bottom w:val="single" w:sz="4" w:space="0" w:color="auto"/>
              <w:right w:val="nil"/>
            </w:tcBorders>
            <w:vAlign w:val="center"/>
            <w:hideMark/>
          </w:tcPr>
          <w:p w14:paraId="6B8B408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418" w:type="dxa"/>
            <w:tcBorders>
              <w:top w:val="nil"/>
              <w:left w:val="nil"/>
              <w:bottom w:val="single" w:sz="4" w:space="0" w:color="auto"/>
              <w:right w:val="nil"/>
            </w:tcBorders>
            <w:vAlign w:val="center"/>
            <w:hideMark/>
          </w:tcPr>
          <w:p w14:paraId="583828A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vAlign w:val="center"/>
            <w:hideMark/>
          </w:tcPr>
          <w:p w14:paraId="7D7B865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63" w:type="dxa"/>
            <w:vMerge/>
            <w:tcBorders>
              <w:top w:val="nil"/>
              <w:left w:val="nil"/>
              <w:bottom w:val="nil"/>
              <w:right w:val="single" w:sz="4" w:space="0" w:color="auto"/>
            </w:tcBorders>
            <w:vAlign w:val="center"/>
            <w:hideMark/>
          </w:tcPr>
          <w:p w14:paraId="06DEDB35" w14:textId="77777777" w:rsidR="000E15B7" w:rsidRPr="00EC5748" w:rsidRDefault="000E15B7" w:rsidP="00427297">
            <w:pPr>
              <w:jc w:val="center"/>
              <w:rPr>
                <w:rFonts w:eastAsia="Times New Roman"/>
                <w:color w:val="000000"/>
                <w:lang w:eastAsia="fr-CA"/>
              </w:rPr>
            </w:pPr>
          </w:p>
        </w:tc>
      </w:tr>
      <w:tr w:rsidR="000E15B7" w:rsidRPr="00EC5748" w14:paraId="470291D3" w14:textId="77777777" w:rsidTr="004E323E">
        <w:trPr>
          <w:trHeight w:val="288"/>
        </w:trPr>
        <w:tc>
          <w:tcPr>
            <w:tcW w:w="1985" w:type="dxa"/>
            <w:vMerge/>
            <w:tcBorders>
              <w:left w:val="single" w:sz="4" w:space="0" w:color="auto"/>
              <w:right w:val="nil"/>
            </w:tcBorders>
            <w:vAlign w:val="center"/>
            <w:hideMark/>
          </w:tcPr>
          <w:p w14:paraId="54BD5230"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7E06EF33"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6B1369B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119" w:type="dxa"/>
            <w:tcBorders>
              <w:top w:val="nil"/>
              <w:left w:val="nil"/>
              <w:bottom w:val="single" w:sz="4" w:space="0" w:color="auto"/>
              <w:right w:val="nil"/>
            </w:tcBorders>
            <w:vAlign w:val="center"/>
            <w:hideMark/>
          </w:tcPr>
          <w:p w14:paraId="62CB8AC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418" w:type="dxa"/>
            <w:tcBorders>
              <w:top w:val="nil"/>
              <w:left w:val="nil"/>
              <w:bottom w:val="single" w:sz="4" w:space="0" w:color="auto"/>
              <w:right w:val="nil"/>
            </w:tcBorders>
            <w:vAlign w:val="center"/>
            <w:hideMark/>
          </w:tcPr>
          <w:p w14:paraId="3598443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417" w:type="dxa"/>
            <w:tcBorders>
              <w:top w:val="nil"/>
              <w:left w:val="nil"/>
              <w:bottom w:val="single" w:sz="4" w:space="0" w:color="auto"/>
              <w:right w:val="nil"/>
            </w:tcBorders>
            <w:vAlign w:val="center"/>
            <w:hideMark/>
          </w:tcPr>
          <w:p w14:paraId="2D7DF43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100</w:t>
            </w:r>
          </w:p>
        </w:tc>
        <w:tc>
          <w:tcPr>
            <w:tcW w:w="1763" w:type="dxa"/>
            <w:vMerge/>
            <w:tcBorders>
              <w:top w:val="nil"/>
              <w:left w:val="nil"/>
              <w:bottom w:val="nil"/>
              <w:right w:val="single" w:sz="4" w:space="0" w:color="auto"/>
            </w:tcBorders>
            <w:vAlign w:val="center"/>
            <w:hideMark/>
          </w:tcPr>
          <w:p w14:paraId="540E6341" w14:textId="77777777" w:rsidR="000E15B7" w:rsidRPr="00EC5748" w:rsidRDefault="000E15B7" w:rsidP="00427297">
            <w:pPr>
              <w:jc w:val="center"/>
              <w:rPr>
                <w:rFonts w:eastAsia="Times New Roman"/>
                <w:color w:val="000000"/>
                <w:lang w:eastAsia="fr-CA"/>
              </w:rPr>
            </w:pPr>
          </w:p>
        </w:tc>
      </w:tr>
      <w:tr w:rsidR="000E15B7" w:rsidRPr="00EC5748" w14:paraId="19866006" w14:textId="77777777" w:rsidTr="004E323E">
        <w:trPr>
          <w:trHeight w:val="288"/>
        </w:trPr>
        <w:tc>
          <w:tcPr>
            <w:tcW w:w="1985" w:type="dxa"/>
            <w:vMerge/>
            <w:tcBorders>
              <w:left w:val="single" w:sz="4" w:space="0" w:color="auto"/>
              <w:right w:val="nil"/>
            </w:tcBorders>
            <w:vAlign w:val="center"/>
            <w:hideMark/>
          </w:tcPr>
          <w:p w14:paraId="48A123FE"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68EEA708"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268ABCF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119" w:type="dxa"/>
            <w:tcBorders>
              <w:top w:val="nil"/>
              <w:left w:val="nil"/>
              <w:bottom w:val="single" w:sz="4" w:space="0" w:color="auto"/>
              <w:right w:val="nil"/>
            </w:tcBorders>
            <w:vAlign w:val="center"/>
            <w:hideMark/>
          </w:tcPr>
          <w:p w14:paraId="33812302"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418" w:type="dxa"/>
            <w:tcBorders>
              <w:top w:val="nil"/>
              <w:left w:val="nil"/>
              <w:bottom w:val="single" w:sz="4" w:space="0" w:color="auto"/>
              <w:right w:val="nil"/>
            </w:tcBorders>
            <w:vAlign w:val="center"/>
            <w:hideMark/>
          </w:tcPr>
          <w:p w14:paraId="7C28C92F"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vAlign w:val="center"/>
            <w:hideMark/>
          </w:tcPr>
          <w:p w14:paraId="43BAF88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63" w:type="dxa"/>
            <w:vMerge/>
            <w:tcBorders>
              <w:top w:val="nil"/>
              <w:left w:val="nil"/>
              <w:bottom w:val="single" w:sz="4" w:space="0" w:color="auto"/>
              <w:right w:val="single" w:sz="4" w:space="0" w:color="auto"/>
            </w:tcBorders>
            <w:vAlign w:val="center"/>
            <w:hideMark/>
          </w:tcPr>
          <w:p w14:paraId="76DD0E9C" w14:textId="77777777" w:rsidR="000E15B7" w:rsidRPr="00EC5748" w:rsidRDefault="000E15B7" w:rsidP="00427297">
            <w:pPr>
              <w:jc w:val="center"/>
              <w:rPr>
                <w:rFonts w:eastAsia="Times New Roman"/>
                <w:color w:val="000000"/>
                <w:lang w:eastAsia="fr-CA"/>
              </w:rPr>
            </w:pPr>
          </w:p>
        </w:tc>
      </w:tr>
      <w:tr w:rsidR="000E15B7" w:rsidRPr="00EC5748" w14:paraId="618082B2" w14:textId="77777777" w:rsidTr="004E323E">
        <w:trPr>
          <w:trHeight w:val="288"/>
        </w:trPr>
        <w:tc>
          <w:tcPr>
            <w:tcW w:w="1985" w:type="dxa"/>
            <w:vMerge/>
            <w:tcBorders>
              <w:left w:val="single" w:sz="4" w:space="0" w:color="auto"/>
              <w:right w:val="nil"/>
            </w:tcBorders>
            <w:vAlign w:val="center"/>
            <w:hideMark/>
          </w:tcPr>
          <w:p w14:paraId="531E88A4"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556CD9D6"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4BEDD3E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119" w:type="dxa"/>
            <w:tcBorders>
              <w:top w:val="nil"/>
              <w:left w:val="nil"/>
              <w:bottom w:val="single" w:sz="4" w:space="0" w:color="auto"/>
              <w:right w:val="nil"/>
            </w:tcBorders>
            <w:vAlign w:val="center"/>
            <w:hideMark/>
          </w:tcPr>
          <w:p w14:paraId="7DE7846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418" w:type="dxa"/>
            <w:tcBorders>
              <w:top w:val="nil"/>
              <w:left w:val="nil"/>
              <w:bottom w:val="single" w:sz="4" w:space="0" w:color="auto"/>
              <w:right w:val="nil"/>
            </w:tcBorders>
            <w:vAlign w:val="center"/>
            <w:hideMark/>
          </w:tcPr>
          <w:p w14:paraId="35D07AA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vAlign w:val="center"/>
            <w:hideMark/>
          </w:tcPr>
          <w:p w14:paraId="19FE3AE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63" w:type="dxa"/>
            <w:tcBorders>
              <w:top w:val="single" w:sz="4" w:space="0" w:color="auto"/>
              <w:left w:val="nil"/>
              <w:bottom w:val="single" w:sz="4" w:space="0" w:color="auto"/>
              <w:right w:val="single" w:sz="4" w:space="0" w:color="auto"/>
            </w:tcBorders>
            <w:vAlign w:val="center"/>
            <w:hideMark/>
          </w:tcPr>
          <w:p w14:paraId="4926686A" w14:textId="50764DDF"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617E58D8" w14:textId="77777777" w:rsidTr="004E323E">
        <w:trPr>
          <w:trHeight w:val="288"/>
        </w:trPr>
        <w:tc>
          <w:tcPr>
            <w:tcW w:w="1985" w:type="dxa"/>
            <w:vMerge/>
            <w:tcBorders>
              <w:left w:val="single" w:sz="4" w:space="0" w:color="auto"/>
              <w:right w:val="nil"/>
            </w:tcBorders>
            <w:vAlign w:val="center"/>
            <w:hideMark/>
          </w:tcPr>
          <w:p w14:paraId="1A22DEDA" w14:textId="77777777" w:rsidR="000E15B7" w:rsidRPr="00EC5748" w:rsidRDefault="000E15B7" w:rsidP="00EC5748">
            <w:pPr>
              <w:rPr>
                <w:rFonts w:eastAsia="Times New Roman"/>
                <w:i/>
                <w:iCs/>
                <w:color w:val="000000"/>
                <w:lang w:eastAsia="fr-CA"/>
              </w:rPr>
            </w:pPr>
          </w:p>
        </w:tc>
        <w:tc>
          <w:tcPr>
            <w:tcW w:w="1892" w:type="dxa"/>
            <w:gridSpan w:val="2"/>
            <w:vMerge w:val="restart"/>
            <w:tcBorders>
              <w:top w:val="nil"/>
              <w:left w:val="nil"/>
              <w:bottom w:val="single" w:sz="4" w:space="0" w:color="000000"/>
              <w:right w:val="nil"/>
            </w:tcBorders>
            <w:vAlign w:val="center"/>
            <w:hideMark/>
          </w:tcPr>
          <w:p w14:paraId="46CC122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Montérégie</w:t>
            </w:r>
          </w:p>
        </w:tc>
        <w:tc>
          <w:tcPr>
            <w:tcW w:w="1463" w:type="dxa"/>
            <w:tcBorders>
              <w:top w:val="nil"/>
              <w:left w:val="nil"/>
              <w:bottom w:val="single" w:sz="4" w:space="0" w:color="auto"/>
              <w:right w:val="nil"/>
            </w:tcBorders>
            <w:vAlign w:val="center"/>
            <w:hideMark/>
          </w:tcPr>
          <w:p w14:paraId="1DE174E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119" w:type="dxa"/>
            <w:tcBorders>
              <w:top w:val="nil"/>
              <w:left w:val="nil"/>
              <w:bottom w:val="single" w:sz="4" w:space="0" w:color="auto"/>
              <w:right w:val="nil"/>
            </w:tcBorders>
            <w:vAlign w:val="center"/>
            <w:hideMark/>
          </w:tcPr>
          <w:p w14:paraId="6D4DA83D"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25</w:t>
            </w:r>
          </w:p>
        </w:tc>
        <w:tc>
          <w:tcPr>
            <w:tcW w:w="1418" w:type="dxa"/>
            <w:tcBorders>
              <w:top w:val="nil"/>
              <w:left w:val="nil"/>
              <w:bottom w:val="single" w:sz="4" w:space="0" w:color="auto"/>
              <w:right w:val="nil"/>
            </w:tcBorders>
            <w:vAlign w:val="center"/>
            <w:hideMark/>
          </w:tcPr>
          <w:p w14:paraId="573C177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8</w:t>
            </w:r>
          </w:p>
        </w:tc>
        <w:tc>
          <w:tcPr>
            <w:tcW w:w="1417" w:type="dxa"/>
            <w:tcBorders>
              <w:top w:val="nil"/>
              <w:left w:val="nil"/>
              <w:bottom w:val="single" w:sz="4" w:space="0" w:color="auto"/>
              <w:right w:val="nil"/>
            </w:tcBorders>
            <w:vAlign w:val="center"/>
            <w:hideMark/>
          </w:tcPr>
          <w:p w14:paraId="375CC18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32</w:t>
            </w:r>
          </w:p>
        </w:tc>
        <w:tc>
          <w:tcPr>
            <w:tcW w:w="1763" w:type="dxa"/>
            <w:vMerge w:val="restart"/>
            <w:tcBorders>
              <w:top w:val="nil"/>
              <w:left w:val="nil"/>
              <w:bottom w:val="nil"/>
              <w:right w:val="single" w:sz="4" w:space="0" w:color="auto"/>
            </w:tcBorders>
            <w:vAlign w:val="center"/>
            <w:hideMark/>
          </w:tcPr>
          <w:p w14:paraId="7C79A365"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72</w:t>
            </w:r>
          </w:p>
        </w:tc>
      </w:tr>
      <w:tr w:rsidR="000E15B7" w:rsidRPr="00EC5748" w14:paraId="4BF2A132" w14:textId="77777777" w:rsidTr="004E323E">
        <w:trPr>
          <w:trHeight w:val="288"/>
        </w:trPr>
        <w:tc>
          <w:tcPr>
            <w:tcW w:w="1985" w:type="dxa"/>
            <w:vMerge/>
            <w:tcBorders>
              <w:left w:val="single" w:sz="4" w:space="0" w:color="auto"/>
              <w:right w:val="nil"/>
            </w:tcBorders>
            <w:vAlign w:val="center"/>
            <w:hideMark/>
          </w:tcPr>
          <w:p w14:paraId="472339C0"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2D6B4814"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07B8EC2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119" w:type="dxa"/>
            <w:tcBorders>
              <w:top w:val="nil"/>
              <w:left w:val="nil"/>
              <w:bottom w:val="single" w:sz="4" w:space="0" w:color="auto"/>
              <w:right w:val="nil"/>
            </w:tcBorders>
            <w:vAlign w:val="center"/>
            <w:hideMark/>
          </w:tcPr>
          <w:p w14:paraId="5C475EB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25</w:t>
            </w:r>
          </w:p>
        </w:tc>
        <w:tc>
          <w:tcPr>
            <w:tcW w:w="1418" w:type="dxa"/>
            <w:tcBorders>
              <w:top w:val="nil"/>
              <w:left w:val="nil"/>
              <w:bottom w:val="single" w:sz="4" w:space="0" w:color="auto"/>
              <w:right w:val="nil"/>
            </w:tcBorders>
            <w:vAlign w:val="center"/>
            <w:hideMark/>
          </w:tcPr>
          <w:p w14:paraId="390888B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417" w:type="dxa"/>
            <w:tcBorders>
              <w:top w:val="nil"/>
              <w:left w:val="nil"/>
              <w:bottom w:val="single" w:sz="4" w:space="0" w:color="auto"/>
              <w:right w:val="nil"/>
            </w:tcBorders>
            <w:vAlign w:val="center"/>
            <w:hideMark/>
          </w:tcPr>
          <w:p w14:paraId="1770A05B"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68</w:t>
            </w:r>
          </w:p>
        </w:tc>
        <w:tc>
          <w:tcPr>
            <w:tcW w:w="1763" w:type="dxa"/>
            <w:vMerge/>
            <w:tcBorders>
              <w:top w:val="nil"/>
              <w:left w:val="nil"/>
              <w:bottom w:val="nil"/>
              <w:right w:val="single" w:sz="4" w:space="0" w:color="auto"/>
            </w:tcBorders>
            <w:vAlign w:val="center"/>
            <w:hideMark/>
          </w:tcPr>
          <w:p w14:paraId="56C4836C" w14:textId="77777777" w:rsidR="000E15B7" w:rsidRPr="00EC5748" w:rsidRDefault="000E15B7" w:rsidP="00427297">
            <w:pPr>
              <w:jc w:val="center"/>
              <w:rPr>
                <w:rFonts w:eastAsia="Times New Roman"/>
                <w:color w:val="000000"/>
                <w:lang w:eastAsia="fr-CA"/>
              </w:rPr>
            </w:pPr>
          </w:p>
        </w:tc>
      </w:tr>
      <w:tr w:rsidR="000E15B7" w:rsidRPr="00EC5748" w14:paraId="3804593B" w14:textId="77777777" w:rsidTr="004E323E">
        <w:trPr>
          <w:trHeight w:val="288"/>
        </w:trPr>
        <w:tc>
          <w:tcPr>
            <w:tcW w:w="1985" w:type="dxa"/>
            <w:vMerge/>
            <w:tcBorders>
              <w:left w:val="single" w:sz="4" w:space="0" w:color="auto"/>
              <w:right w:val="nil"/>
            </w:tcBorders>
            <w:vAlign w:val="center"/>
            <w:hideMark/>
          </w:tcPr>
          <w:p w14:paraId="361EE8A3"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5ACF7727"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641AE70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119" w:type="dxa"/>
            <w:tcBorders>
              <w:top w:val="nil"/>
              <w:left w:val="nil"/>
              <w:bottom w:val="single" w:sz="4" w:space="0" w:color="auto"/>
              <w:right w:val="nil"/>
            </w:tcBorders>
            <w:vAlign w:val="center"/>
            <w:hideMark/>
          </w:tcPr>
          <w:p w14:paraId="771D41B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25</w:t>
            </w:r>
          </w:p>
        </w:tc>
        <w:tc>
          <w:tcPr>
            <w:tcW w:w="1418" w:type="dxa"/>
            <w:tcBorders>
              <w:top w:val="nil"/>
              <w:left w:val="nil"/>
              <w:bottom w:val="single" w:sz="4" w:space="0" w:color="auto"/>
              <w:right w:val="nil"/>
            </w:tcBorders>
            <w:vAlign w:val="center"/>
            <w:hideMark/>
          </w:tcPr>
          <w:p w14:paraId="3870063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417" w:type="dxa"/>
            <w:tcBorders>
              <w:top w:val="nil"/>
              <w:left w:val="nil"/>
              <w:bottom w:val="single" w:sz="4" w:space="0" w:color="auto"/>
              <w:right w:val="nil"/>
            </w:tcBorders>
            <w:vAlign w:val="center"/>
            <w:hideMark/>
          </w:tcPr>
          <w:p w14:paraId="3CAA5C7E"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68</w:t>
            </w:r>
          </w:p>
        </w:tc>
        <w:tc>
          <w:tcPr>
            <w:tcW w:w="1763" w:type="dxa"/>
            <w:vMerge/>
            <w:tcBorders>
              <w:top w:val="nil"/>
              <w:left w:val="nil"/>
              <w:bottom w:val="nil"/>
              <w:right w:val="single" w:sz="4" w:space="0" w:color="auto"/>
            </w:tcBorders>
            <w:vAlign w:val="center"/>
            <w:hideMark/>
          </w:tcPr>
          <w:p w14:paraId="6EAB2DAE" w14:textId="77777777" w:rsidR="000E15B7" w:rsidRPr="00EC5748" w:rsidRDefault="000E15B7" w:rsidP="00427297">
            <w:pPr>
              <w:jc w:val="center"/>
              <w:rPr>
                <w:rFonts w:eastAsia="Times New Roman"/>
                <w:color w:val="000000"/>
                <w:lang w:eastAsia="fr-CA"/>
              </w:rPr>
            </w:pPr>
          </w:p>
        </w:tc>
      </w:tr>
      <w:tr w:rsidR="000E15B7" w:rsidRPr="00EC5748" w14:paraId="595043C4" w14:textId="77777777" w:rsidTr="004E323E">
        <w:trPr>
          <w:trHeight w:val="288"/>
        </w:trPr>
        <w:tc>
          <w:tcPr>
            <w:tcW w:w="1985" w:type="dxa"/>
            <w:vMerge/>
            <w:tcBorders>
              <w:left w:val="single" w:sz="4" w:space="0" w:color="auto"/>
              <w:right w:val="nil"/>
            </w:tcBorders>
            <w:vAlign w:val="center"/>
            <w:hideMark/>
          </w:tcPr>
          <w:p w14:paraId="19E0115D"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4406E9F6"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584A5FA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119" w:type="dxa"/>
            <w:tcBorders>
              <w:top w:val="nil"/>
              <w:left w:val="nil"/>
              <w:bottom w:val="single" w:sz="4" w:space="0" w:color="auto"/>
              <w:right w:val="nil"/>
            </w:tcBorders>
            <w:vAlign w:val="center"/>
            <w:hideMark/>
          </w:tcPr>
          <w:p w14:paraId="384468F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25</w:t>
            </w:r>
          </w:p>
        </w:tc>
        <w:tc>
          <w:tcPr>
            <w:tcW w:w="1418" w:type="dxa"/>
            <w:tcBorders>
              <w:top w:val="nil"/>
              <w:left w:val="nil"/>
              <w:bottom w:val="single" w:sz="4" w:space="0" w:color="auto"/>
              <w:right w:val="nil"/>
            </w:tcBorders>
            <w:vAlign w:val="center"/>
            <w:hideMark/>
          </w:tcPr>
          <w:p w14:paraId="337C1A7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w:t>
            </w:r>
          </w:p>
        </w:tc>
        <w:tc>
          <w:tcPr>
            <w:tcW w:w="1417" w:type="dxa"/>
            <w:tcBorders>
              <w:top w:val="nil"/>
              <w:left w:val="nil"/>
              <w:bottom w:val="single" w:sz="4" w:space="0" w:color="auto"/>
              <w:right w:val="nil"/>
            </w:tcBorders>
            <w:vAlign w:val="center"/>
            <w:hideMark/>
          </w:tcPr>
          <w:p w14:paraId="3B0FD9F7"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w:t>
            </w:r>
          </w:p>
        </w:tc>
        <w:tc>
          <w:tcPr>
            <w:tcW w:w="1763" w:type="dxa"/>
            <w:vMerge/>
            <w:tcBorders>
              <w:top w:val="nil"/>
              <w:left w:val="nil"/>
              <w:bottom w:val="single" w:sz="4" w:space="0" w:color="auto"/>
              <w:right w:val="single" w:sz="4" w:space="0" w:color="auto"/>
            </w:tcBorders>
            <w:vAlign w:val="center"/>
            <w:hideMark/>
          </w:tcPr>
          <w:p w14:paraId="6A299BF0" w14:textId="77777777" w:rsidR="000E15B7" w:rsidRPr="00EC5748" w:rsidRDefault="000E15B7" w:rsidP="00427297">
            <w:pPr>
              <w:jc w:val="center"/>
              <w:rPr>
                <w:rFonts w:eastAsia="Times New Roman"/>
                <w:color w:val="000000"/>
                <w:lang w:eastAsia="fr-CA"/>
              </w:rPr>
            </w:pPr>
          </w:p>
        </w:tc>
      </w:tr>
      <w:tr w:rsidR="000E15B7" w:rsidRPr="00EC5748" w14:paraId="25C88435" w14:textId="77777777" w:rsidTr="004E323E">
        <w:trPr>
          <w:trHeight w:val="288"/>
        </w:trPr>
        <w:tc>
          <w:tcPr>
            <w:tcW w:w="1985" w:type="dxa"/>
            <w:vMerge/>
            <w:tcBorders>
              <w:left w:val="single" w:sz="4" w:space="0" w:color="auto"/>
              <w:right w:val="nil"/>
            </w:tcBorders>
            <w:vAlign w:val="center"/>
            <w:hideMark/>
          </w:tcPr>
          <w:p w14:paraId="7744A086"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1ECF2B38"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0CB9C49C"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119" w:type="dxa"/>
            <w:tcBorders>
              <w:top w:val="nil"/>
              <w:left w:val="nil"/>
              <w:bottom w:val="single" w:sz="4" w:space="0" w:color="auto"/>
              <w:right w:val="nil"/>
            </w:tcBorders>
            <w:vAlign w:val="center"/>
            <w:hideMark/>
          </w:tcPr>
          <w:p w14:paraId="4DB8502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25</w:t>
            </w:r>
          </w:p>
        </w:tc>
        <w:tc>
          <w:tcPr>
            <w:tcW w:w="1418" w:type="dxa"/>
            <w:tcBorders>
              <w:top w:val="nil"/>
              <w:left w:val="nil"/>
              <w:bottom w:val="single" w:sz="4" w:space="0" w:color="auto"/>
              <w:right w:val="nil"/>
            </w:tcBorders>
            <w:vAlign w:val="center"/>
            <w:hideMark/>
          </w:tcPr>
          <w:p w14:paraId="32E83DA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vAlign w:val="center"/>
            <w:hideMark/>
          </w:tcPr>
          <w:p w14:paraId="1291830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63" w:type="dxa"/>
            <w:tcBorders>
              <w:top w:val="single" w:sz="4" w:space="0" w:color="auto"/>
              <w:left w:val="nil"/>
              <w:bottom w:val="single" w:sz="4" w:space="0" w:color="auto"/>
              <w:right w:val="single" w:sz="4" w:space="0" w:color="auto"/>
            </w:tcBorders>
            <w:vAlign w:val="center"/>
            <w:hideMark/>
          </w:tcPr>
          <w:p w14:paraId="735BDA09" w14:textId="072EF6DA"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r w:rsidR="000E15B7" w:rsidRPr="00EC5748" w14:paraId="65D5DAFA" w14:textId="77777777" w:rsidTr="004E323E">
        <w:trPr>
          <w:trHeight w:val="288"/>
        </w:trPr>
        <w:tc>
          <w:tcPr>
            <w:tcW w:w="1985" w:type="dxa"/>
            <w:vMerge/>
            <w:tcBorders>
              <w:left w:val="single" w:sz="4" w:space="0" w:color="auto"/>
              <w:right w:val="nil"/>
            </w:tcBorders>
            <w:vAlign w:val="center"/>
            <w:hideMark/>
          </w:tcPr>
          <w:p w14:paraId="18849F53" w14:textId="77777777" w:rsidR="000E15B7" w:rsidRPr="00EC5748" w:rsidRDefault="000E15B7" w:rsidP="00EC5748">
            <w:pPr>
              <w:rPr>
                <w:rFonts w:eastAsia="Times New Roman"/>
                <w:i/>
                <w:iCs/>
                <w:color w:val="000000"/>
                <w:lang w:eastAsia="fr-CA"/>
              </w:rPr>
            </w:pPr>
          </w:p>
        </w:tc>
        <w:tc>
          <w:tcPr>
            <w:tcW w:w="1892" w:type="dxa"/>
            <w:gridSpan w:val="2"/>
            <w:vMerge w:val="restart"/>
            <w:tcBorders>
              <w:top w:val="nil"/>
              <w:left w:val="nil"/>
              <w:bottom w:val="single" w:sz="4" w:space="0" w:color="000000"/>
              <w:right w:val="nil"/>
            </w:tcBorders>
            <w:vAlign w:val="center"/>
            <w:hideMark/>
          </w:tcPr>
          <w:p w14:paraId="32E1043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Lanaudière</w:t>
            </w:r>
          </w:p>
        </w:tc>
        <w:tc>
          <w:tcPr>
            <w:tcW w:w="1463" w:type="dxa"/>
            <w:tcBorders>
              <w:top w:val="nil"/>
              <w:left w:val="nil"/>
              <w:bottom w:val="single" w:sz="4" w:space="0" w:color="auto"/>
              <w:right w:val="nil"/>
            </w:tcBorders>
            <w:vAlign w:val="center"/>
            <w:hideMark/>
          </w:tcPr>
          <w:p w14:paraId="7D6BED13"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119" w:type="dxa"/>
            <w:tcBorders>
              <w:top w:val="nil"/>
              <w:left w:val="nil"/>
              <w:bottom w:val="single" w:sz="4" w:space="0" w:color="auto"/>
              <w:right w:val="nil"/>
            </w:tcBorders>
            <w:vAlign w:val="center"/>
            <w:hideMark/>
          </w:tcPr>
          <w:p w14:paraId="3072E11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9</w:t>
            </w:r>
          </w:p>
        </w:tc>
        <w:tc>
          <w:tcPr>
            <w:tcW w:w="1418" w:type="dxa"/>
            <w:tcBorders>
              <w:top w:val="nil"/>
              <w:left w:val="nil"/>
              <w:bottom w:val="single" w:sz="4" w:space="0" w:color="auto"/>
              <w:right w:val="nil"/>
            </w:tcBorders>
            <w:vAlign w:val="center"/>
            <w:hideMark/>
          </w:tcPr>
          <w:p w14:paraId="423244D6"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w:t>
            </w:r>
          </w:p>
        </w:tc>
        <w:tc>
          <w:tcPr>
            <w:tcW w:w="1417" w:type="dxa"/>
            <w:tcBorders>
              <w:top w:val="nil"/>
              <w:left w:val="nil"/>
              <w:bottom w:val="single" w:sz="4" w:space="0" w:color="auto"/>
              <w:right w:val="nil"/>
            </w:tcBorders>
            <w:vAlign w:val="center"/>
            <w:hideMark/>
          </w:tcPr>
          <w:p w14:paraId="1D87ADE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22,2</w:t>
            </w:r>
          </w:p>
        </w:tc>
        <w:tc>
          <w:tcPr>
            <w:tcW w:w="1763" w:type="dxa"/>
            <w:vMerge w:val="restart"/>
            <w:tcBorders>
              <w:top w:val="nil"/>
              <w:left w:val="nil"/>
              <w:bottom w:val="nil"/>
              <w:right w:val="single" w:sz="4" w:space="0" w:color="auto"/>
            </w:tcBorders>
            <w:vAlign w:val="center"/>
            <w:hideMark/>
          </w:tcPr>
          <w:p w14:paraId="7926F019" w14:textId="77777777" w:rsidR="000E15B7" w:rsidRPr="00EC5748" w:rsidRDefault="000E15B7" w:rsidP="00427297">
            <w:pPr>
              <w:jc w:val="center"/>
              <w:rPr>
                <w:rFonts w:eastAsia="Times New Roman"/>
                <w:color w:val="000000"/>
                <w:lang w:eastAsia="fr-CA"/>
              </w:rPr>
            </w:pPr>
            <w:r w:rsidRPr="00EC5748">
              <w:rPr>
                <w:rFonts w:eastAsia="Times New Roman"/>
                <w:color w:val="000000"/>
                <w:lang w:eastAsia="fr-CA"/>
              </w:rPr>
              <w:t>55,6</w:t>
            </w:r>
          </w:p>
        </w:tc>
      </w:tr>
      <w:tr w:rsidR="000E15B7" w:rsidRPr="00EC5748" w14:paraId="3F266D7E" w14:textId="77777777" w:rsidTr="004E323E">
        <w:trPr>
          <w:trHeight w:val="288"/>
        </w:trPr>
        <w:tc>
          <w:tcPr>
            <w:tcW w:w="1985" w:type="dxa"/>
            <w:vMerge/>
            <w:tcBorders>
              <w:left w:val="single" w:sz="4" w:space="0" w:color="auto"/>
              <w:right w:val="nil"/>
            </w:tcBorders>
            <w:vAlign w:val="center"/>
            <w:hideMark/>
          </w:tcPr>
          <w:p w14:paraId="583E983D"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746339D1"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1DAE0914"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w:t>
            </w:r>
          </w:p>
        </w:tc>
        <w:tc>
          <w:tcPr>
            <w:tcW w:w="1119" w:type="dxa"/>
            <w:tcBorders>
              <w:top w:val="nil"/>
              <w:left w:val="nil"/>
              <w:bottom w:val="single" w:sz="4" w:space="0" w:color="auto"/>
              <w:right w:val="nil"/>
            </w:tcBorders>
            <w:vAlign w:val="center"/>
            <w:hideMark/>
          </w:tcPr>
          <w:p w14:paraId="389F0B6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9</w:t>
            </w:r>
          </w:p>
        </w:tc>
        <w:tc>
          <w:tcPr>
            <w:tcW w:w="1418" w:type="dxa"/>
            <w:tcBorders>
              <w:top w:val="nil"/>
              <w:left w:val="nil"/>
              <w:bottom w:val="single" w:sz="4" w:space="0" w:color="auto"/>
              <w:right w:val="nil"/>
            </w:tcBorders>
            <w:vAlign w:val="center"/>
            <w:hideMark/>
          </w:tcPr>
          <w:p w14:paraId="488423D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w:t>
            </w:r>
          </w:p>
        </w:tc>
        <w:tc>
          <w:tcPr>
            <w:tcW w:w="1417" w:type="dxa"/>
            <w:tcBorders>
              <w:top w:val="nil"/>
              <w:left w:val="nil"/>
              <w:bottom w:val="single" w:sz="4" w:space="0" w:color="auto"/>
              <w:right w:val="nil"/>
            </w:tcBorders>
            <w:vAlign w:val="center"/>
            <w:hideMark/>
          </w:tcPr>
          <w:p w14:paraId="105EB66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44,4</w:t>
            </w:r>
          </w:p>
        </w:tc>
        <w:tc>
          <w:tcPr>
            <w:tcW w:w="1763" w:type="dxa"/>
            <w:vMerge/>
            <w:tcBorders>
              <w:top w:val="nil"/>
              <w:left w:val="nil"/>
              <w:bottom w:val="nil"/>
              <w:right w:val="single" w:sz="4" w:space="0" w:color="auto"/>
            </w:tcBorders>
            <w:vAlign w:val="center"/>
            <w:hideMark/>
          </w:tcPr>
          <w:p w14:paraId="1C889770" w14:textId="77777777" w:rsidR="000E15B7" w:rsidRPr="00EC5748" w:rsidRDefault="000E15B7" w:rsidP="00427297">
            <w:pPr>
              <w:jc w:val="center"/>
              <w:rPr>
                <w:rFonts w:eastAsia="Times New Roman"/>
                <w:color w:val="000000"/>
                <w:lang w:eastAsia="fr-CA"/>
              </w:rPr>
            </w:pPr>
          </w:p>
        </w:tc>
      </w:tr>
      <w:tr w:rsidR="000E15B7" w:rsidRPr="00EC5748" w14:paraId="4BB23454" w14:textId="77777777" w:rsidTr="004E323E">
        <w:trPr>
          <w:trHeight w:val="288"/>
        </w:trPr>
        <w:tc>
          <w:tcPr>
            <w:tcW w:w="1985" w:type="dxa"/>
            <w:vMerge/>
            <w:tcBorders>
              <w:left w:val="single" w:sz="4" w:space="0" w:color="auto"/>
              <w:right w:val="nil"/>
            </w:tcBorders>
            <w:vAlign w:val="center"/>
            <w:hideMark/>
          </w:tcPr>
          <w:p w14:paraId="40435164"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71964244"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2C791BD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11</w:t>
            </w:r>
          </w:p>
        </w:tc>
        <w:tc>
          <w:tcPr>
            <w:tcW w:w="1119" w:type="dxa"/>
            <w:tcBorders>
              <w:top w:val="nil"/>
              <w:left w:val="nil"/>
              <w:bottom w:val="single" w:sz="4" w:space="0" w:color="auto"/>
              <w:right w:val="nil"/>
            </w:tcBorders>
            <w:vAlign w:val="center"/>
            <w:hideMark/>
          </w:tcPr>
          <w:p w14:paraId="3D2E121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9</w:t>
            </w:r>
          </w:p>
        </w:tc>
        <w:tc>
          <w:tcPr>
            <w:tcW w:w="1418" w:type="dxa"/>
            <w:tcBorders>
              <w:top w:val="nil"/>
              <w:left w:val="nil"/>
              <w:bottom w:val="single" w:sz="4" w:space="0" w:color="auto"/>
              <w:right w:val="nil"/>
            </w:tcBorders>
            <w:vAlign w:val="center"/>
            <w:hideMark/>
          </w:tcPr>
          <w:p w14:paraId="2B7920C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w:t>
            </w:r>
          </w:p>
        </w:tc>
        <w:tc>
          <w:tcPr>
            <w:tcW w:w="1417" w:type="dxa"/>
            <w:tcBorders>
              <w:top w:val="nil"/>
              <w:left w:val="nil"/>
              <w:bottom w:val="single" w:sz="4" w:space="0" w:color="auto"/>
              <w:right w:val="nil"/>
            </w:tcBorders>
            <w:vAlign w:val="center"/>
            <w:hideMark/>
          </w:tcPr>
          <w:p w14:paraId="60EA2D28"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55,6</w:t>
            </w:r>
          </w:p>
        </w:tc>
        <w:tc>
          <w:tcPr>
            <w:tcW w:w="1763" w:type="dxa"/>
            <w:vMerge/>
            <w:tcBorders>
              <w:top w:val="nil"/>
              <w:left w:val="nil"/>
              <w:bottom w:val="nil"/>
              <w:right w:val="single" w:sz="4" w:space="0" w:color="auto"/>
            </w:tcBorders>
            <w:vAlign w:val="center"/>
            <w:hideMark/>
          </w:tcPr>
          <w:p w14:paraId="12D33558" w14:textId="77777777" w:rsidR="000E15B7" w:rsidRPr="00EC5748" w:rsidRDefault="000E15B7" w:rsidP="00427297">
            <w:pPr>
              <w:jc w:val="center"/>
              <w:rPr>
                <w:rFonts w:eastAsia="Times New Roman"/>
                <w:color w:val="000000"/>
                <w:lang w:eastAsia="fr-CA"/>
              </w:rPr>
            </w:pPr>
          </w:p>
        </w:tc>
      </w:tr>
      <w:tr w:rsidR="000E15B7" w:rsidRPr="00EC5748" w14:paraId="7E670D21" w14:textId="77777777" w:rsidTr="004E323E">
        <w:trPr>
          <w:trHeight w:val="288"/>
        </w:trPr>
        <w:tc>
          <w:tcPr>
            <w:tcW w:w="1985" w:type="dxa"/>
            <w:vMerge/>
            <w:tcBorders>
              <w:left w:val="single" w:sz="4" w:space="0" w:color="auto"/>
              <w:right w:val="nil"/>
            </w:tcBorders>
            <w:vAlign w:val="center"/>
            <w:hideMark/>
          </w:tcPr>
          <w:p w14:paraId="0E8E5FAC"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06F90535"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1A496CD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17</w:t>
            </w:r>
          </w:p>
        </w:tc>
        <w:tc>
          <w:tcPr>
            <w:tcW w:w="1119" w:type="dxa"/>
            <w:tcBorders>
              <w:top w:val="nil"/>
              <w:left w:val="nil"/>
              <w:bottom w:val="single" w:sz="4" w:space="0" w:color="auto"/>
              <w:right w:val="nil"/>
            </w:tcBorders>
            <w:vAlign w:val="center"/>
            <w:hideMark/>
          </w:tcPr>
          <w:p w14:paraId="0DE0480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9</w:t>
            </w:r>
          </w:p>
        </w:tc>
        <w:tc>
          <w:tcPr>
            <w:tcW w:w="1418" w:type="dxa"/>
            <w:tcBorders>
              <w:top w:val="nil"/>
              <w:left w:val="nil"/>
              <w:bottom w:val="single" w:sz="4" w:space="0" w:color="auto"/>
              <w:right w:val="nil"/>
            </w:tcBorders>
            <w:vAlign w:val="center"/>
            <w:hideMark/>
          </w:tcPr>
          <w:p w14:paraId="7036D2B5"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vAlign w:val="center"/>
            <w:hideMark/>
          </w:tcPr>
          <w:p w14:paraId="023E582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63" w:type="dxa"/>
            <w:vMerge/>
            <w:tcBorders>
              <w:top w:val="nil"/>
              <w:left w:val="nil"/>
              <w:bottom w:val="single" w:sz="4" w:space="0" w:color="auto"/>
              <w:right w:val="single" w:sz="4" w:space="0" w:color="auto"/>
            </w:tcBorders>
            <w:vAlign w:val="center"/>
            <w:hideMark/>
          </w:tcPr>
          <w:p w14:paraId="2CC78C88" w14:textId="77777777" w:rsidR="000E15B7" w:rsidRPr="00EC5748" w:rsidRDefault="000E15B7" w:rsidP="00427297">
            <w:pPr>
              <w:jc w:val="center"/>
              <w:rPr>
                <w:rFonts w:eastAsia="Times New Roman"/>
                <w:color w:val="000000"/>
                <w:lang w:eastAsia="fr-CA"/>
              </w:rPr>
            </w:pPr>
          </w:p>
        </w:tc>
      </w:tr>
      <w:tr w:rsidR="000E15B7" w:rsidRPr="00EC5748" w14:paraId="42A98C3E" w14:textId="77777777" w:rsidTr="004E323E">
        <w:trPr>
          <w:trHeight w:val="288"/>
        </w:trPr>
        <w:tc>
          <w:tcPr>
            <w:tcW w:w="1985" w:type="dxa"/>
            <w:vMerge/>
            <w:tcBorders>
              <w:left w:val="single" w:sz="4" w:space="0" w:color="auto"/>
              <w:right w:val="nil"/>
            </w:tcBorders>
            <w:vAlign w:val="center"/>
            <w:hideMark/>
          </w:tcPr>
          <w:p w14:paraId="526FA605" w14:textId="77777777" w:rsidR="000E15B7" w:rsidRPr="00EC5748" w:rsidRDefault="000E15B7" w:rsidP="00EC5748">
            <w:pPr>
              <w:rPr>
                <w:rFonts w:eastAsia="Times New Roman"/>
                <w:i/>
                <w:iCs/>
                <w:color w:val="000000"/>
                <w:lang w:eastAsia="fr-CA"/>
              </w:rPr>
            </w:pPr>
          </w:p>
        </w:tc>
        <w:tc>
          <w:tcPr>
            <w:tcW w:w="1892" w:type="dxa"/>
            <w:gridSpan w:val="2"/>
            <w:vMerge/>
            <w:tcBorders>
              <w:top w:val="nil"/>
              <w:left w:val="nil"/>
              <w:bottom w:val="single" w:sz="4" w:space="0" w:color="000000"/>
              <w:right w:val="nil"/>
            </w:tcBorders>
            <w:vAlign w:val="center"/>
            <w:hideMark/>
          </w:tcPr>
          <w:p w14:paraId="2040F18C" w14:textId="77777777" w:rsidR="000E15B7" w:rsidRPr="00EC5748" w:rsidRDefault="000E15B7" w:rsidP="00EC5748">
            <w:pPr>
              <w:rPr>
                <w:rFonts w:eastAsia="Times New Roman"/>
                <w:color w:val="000000"/>
                <w:lang w:eastAsia="fr-CA"/>
              </w:rPr>
            </w:pPr>
          </w:p>
        </w:tc>
        <w:tc>
          <w:tcPr>
            <w:tcW w:w="1463" w:type="dxa"/>
            <w:tcBorders>
              <w:top w:val="nil"/>
              <w:left w:val="nil"/>
              <w:bottom w:val="single" w:sz="4" w:space="0" w:color="auto"/>
              <w:right w:val="nil"/>
            </w:tcBorders>
            <w:vAlign w:val="center"/>
            <w:hideMark/>
          </w:tcPr>
          <w:p w14:paraId="767F58A1"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7 et 11</w:t>
            </w:r>
          </w:p>
        </w:tc>
        <w:tc>
          <w:tcPr>
            <w:tcW w:w="1119" w:type="dxa"/>
            <w:tcBorders>
              <w:top w:val="nil"/>
              <w:left w:val="nil"/>
              <w:bottom w:val="single" w:sz="4" w:space="0" w:color="auto"/>
              <w:right w:val="nil"/>
            </w:tcBorders>
            <w:vAlign w:val="center"/>
            <w:hideMark/>
          </w:tcPr>
          <w:p w14:paraId="0E78115A"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9</w:t>
            </w:r>
          </w:p>
        </w:tc>
        <w:tc>
          <w:tcPr>
            <w:tcW w:w="1418" w:type="dxa"/>
            <w:tcBorders>
              <w:top w:val="nil"/>
              <w:left w:val="nil"/>
              <w:bottom w:val="single" w:sz="4" w:space="0" w:color="auto"/>
              <w:right w:val="nil"/>
            </w:tcBorders>
            <w:vAlign w:val="center"/>
            <w:hideMark/>
          </w:tcPr>
          <w:p w14:paraId="2F3E5CB9"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vAlign w:val="center"/>
            <w:hideMark/>
          </w:tcPr>
          <w:p w14:paraId="0677F370" w14:textId="77777777" w:rsidR="000E15B7" w:rsidRPr="00EC5748" w:rsidRDefault="000E15B7" w:rsidP="00EC5748">
            <w:pPr>
              <w:jc w:val="center"/>
              <w:rPr>
                <w:rFonts w:eastAsia="Times New Roman"/>
                <w:color w:val="000000"/>
                <w:lang w:eastAsia="fr-CA"/>
              </w:rPr>
            </w:pPr>
            <w:r w:rsidRPr="00EC5748">
              <w:rPr>
                <w:rFonts w:eastAsia="Times New Roman"/>
                <w:color w:val="000000"/>
                <w:lang w:eastAsia="fr-CA"/>
              </w:rPr>
              <w:t>0</w:t>
            </w:r>
          </w:p>
        </w:tc>
        <w:tc>
          <w:tcPr>
            <w:tcW w:w="1763" w:type="dxa"/>
            <w:tcBorders>
              <w:top w:val="single" w:sz="4" w:space="0" w:color="auto"/>
              <w:left w:val="nil"/>
              <w:bottom w:val="single" w:sz="4" w:space="0" w:color="auto"/>
              <w:right w:val="single" w:sz="4" w:space="0" w:color="auto"/>
            </w:tcBorders>
            <w:vAlign w:val="center"/>
            <w:hideMark/>
          </w:tcPr>
          <w:p w14:paraId="42C2B514" w14:textId="423A0716" w:rsidR="000E15B7" w:rsidRPr="00EC5748" w:rsidRDefault="00862C22" w:rsidP="00427297">
            <w:pPr>
              <w:jc w:val="center"/>
              <w:rPr>
                <w:rFonts w:eastAsia="Times New Roman"/>
                <w:color w:val="000000"/>
                <w:lang w:eastAsia="fr-CA"/>
              </w:rPr>
            </w:pPr>
            <w:proofErr w:type="gramStart"/>
            <w:r>
              <w:rPr>
                <w:rFonts w:eastAsia="Times New Roman"/>
                <w:color w:val="000000"/>
                <w:lang w:eastAsia="fr-CA"/>
              </w:rPr>
              <w:t>s</w:t>
            </w:r>
            <w:proofErr w:type="gramEnd"/>
            <w:r>
              <w:rPr>
                <w:rFonts w:eastAsia="Times New Roman"/>
                <w:color w:val="000000"/>
                <w:lang w:eastAsia="fr-CA"/>
              </w:rPr>
              <w:t>/o</w:t>
            </w:r>
          </w:p>
        </w:tc>
      </w:tr>
    </w:tbl>
    <w:p w14:paraId="6EC21559" w14:textId="77777777" w:rsidR="00F80C88" w:rsidRPr="00F80C88" w:rsidRDefault="00F80C88" w:rsidP="00F80C88">
      <w:pPr>
        <w:spacing w:line="228" w:lineRule="auto"/>
        <w:jc w:val="both"/>
        <w:rPr>
          <w:rFonts w:eastAsia="Times New Roman"/>
          <w:spacing w:val="-4"/>
          <w:lang w:eastAsia="fr-FR"/>
        </w:rPr>
      </w:pPr>
    </w:p>
    <w:p w14:paraId="26B9F91C" w14:textId="77777777" w:rsidR="009E7EC3" w:rsidRDefault="009E7EC3" w:rsidP="00F80C88">
      <w:pPr>
        <w:spacing w:line="228" w:lineRule="auto"/>
        <w:jc w:val="both"/>
        <w:rPr>
          <w:rFonts w:eastAsia="Times New Roman"/>
          <w:szCs w:val="28"/>
          <w:lang w:eastAsia="fr-FR"/>
        </w:rPr>
        <w:sectPr w:rsidR="009E7EC3" w:rsidSect="002C4725">
          <w:headerReference w:type="default" r:id="rId13"/>
          <w:footerReference w:type="default" r:id="rId14"/>
          <w:headerReference w:type="first" r:id="rId15"/>
          <w:footerReference w:type="first" r:id="rId16"/>
          <w:pgSz w:w="12240" w:h="15840"/>
          <w:pgMar w:top="851" w:right="851" w:bottom="851" w:left="851" w:header="0" w:footer="397" w:gutter="0"/>
          <w:cols w:space="708"/>
          <w:titlePg/>
          <w:docGrid w:linePitch="360"/>
        </w:sectPr>
      </w:pPr>
      <w:bookmarkStart w:id="0" w:name="BLEUETS"/>
      <w:bookmarkEnd w:id="0"/>
    </w:p>
    <w:tbl>
      <w:tblPr>
        <w:tblW w:w="11057" w:type="dxa"/>
        <w:tblInd w:w="-431" w:type="dxa"/>
        <w:tblCellMar>
          <w:left w:w="70" w:type="dxa"/>
          <w:right w:w="70" w:type="dxa"/>
        </w:tblCellMar>
        <w:tblLook w:val="04A0" w:firstRow="1" w:lastRow="0" w:firstColumn="1" w:lastColumn="0" w:noHBand="0" w:noVBand="1"/>
      </w:tblPr>
      <w:tblGrid>
        <w:gridCol w:w="1985"/>
        <w:gridCol w:w="1745"/>
        <w:gridCol w:w="1530"/>
        <w:gridCol w:w="1119"/>
        <w:gridCol w:w="1418"/>
        <w:gridCol w:w="1417"/>
        <w:gridCol w:w="1843"/>
      </w:tblGrid>
      <w:tr w:rsidR="00D17FF0" w:rsidRPr="00EC5748" w14:paraId="6976B8B9" w14:textId="77777777" w:rsidTr="004E323E">
        <w:trPr>
          <w:trHeight w:val="288"/>
        </w:trPr>
        <w:tc>
          <w:tcPr>
            <w:tcW w:w="1985" w:type="dxa"/>
            <w:vMerge w:val="restart"/>
            <w:tcBorders>
              <w:left w:val="single" w:sz="4" w:space="0" w:color="auto"/>
              <w:right w:val="nil"/>
            </w:tcBorders>
            <w:vAlign w:val="center"/>
            <w:hideMark/>
          </w:tcPr>
          <w:p w14:paraId="01358BF8" w14:textId="77777777" w:rsidR="00D17FF0" w:rsidRPr="00EC5748" w:rsidRDefault="00D17FF0" w:rsidP="00EC5748">
            <w:pPr>
              <w:rPr>
                <w:rFonts w:eastAsia="Times New Roman"/>
                <w:i/>
                <w:iCs/>
                <w:color w:val="000000"/>
                <w:lang w:eastAsia="fr-CA"/>
              </w:rPr>
            </w:pPr>
          </w:p>
        </w:tc>
        <w:tc>
          <w:tcPr>
            <w:tcW w:w="1745" w:type="dxa"/>
            <w:vMerge w:val="restart"/>
            <w:tcBorders>
              <w:top w:val="nil"/>
              <w:left w:val="nil"/>
              <w:bottom w:val="single" w:sz="4" w:space="0" w:color="000000"/>
              <w:right w:val="nil"/>
            </w:tcBorders>
            <w:vAlign w:val="center"/>
            <w:hideMark/>
          </w:tcPr>
          <w:p w14:paraId="7E474D0E" w14:textId="6BEC3D04" w:rsidR="00D17FF0" w:rsidRPr="00EC5748" w:rsidRDefault="00D17FF0" w:rsidP="00EC5748">
            <w:pPr>
              <w:jc w:val="center"/>
              <w:rPr>
                <w:rFonts w:eastAsia="Times New Roman"/>
                <w:color w:val="000000"/>
                <w:lang w:eastAsia="fr-CA"/>
              </w:rPr>
            </w:pPr>
            <w:proofErr w:type="spellStart"/>
            <w:r w:rsidRPr="00EC5748">
              <w:rPr>
                <w:rFonts w:eastAsia="Times New Roman"/>
                <w:color w:val="000000"/>
                <w:lang w:eastAsia="fr-CA"/>
              </w:rPr>
              <w:t>Centre</w:t>
            </w:r>
            <w:r w:rsidR="00EC7D82">
              <w:rPr>
                <w:rFonts w:eastAsia="Times New Roman"/>
                <w:color w:val="000000"/>
                <w:lang w:eastAsia="fr-CA"/>
              </w:rPr>
              <w:t>-</w:t>
            </w:r>
            <w:r w:rsidRPr="00EC5748">
              <w:rPr>
                <w:rFonts w:eastAsia="Times New Roman"/>
                <w:color w:val="000000"/>
                <w:lang w:eastAsia="fr-CA"/>
              </w:rPr>
              <w:t>du</w:t>
            </w:r>
            <w:r w:rsidR="00EC7D82">
              <w:rPr>
                <w:rFonts w:eastAsia="Times New Roman"/>
                <w:color w:val="000000"/>
                <w:lang w:eastAsia="fr-CA"/>
              </w:rPr>
              <w:t>-</w:t>
            </w:r>
            <w:r w:rsidRPr="00EC5748">
              <w:rPr>
                <w:rFonts w:eastAsia="Times New Roman"/>
                <w:color w:val="000000"/>
                <w:lang w:eastAsia="fr-CA"/>
              </w:rPr>
              <w:t>Quebec</w:t>
            </w:r>
            <w:proofErr w:type="spellEnd"/>
          </w:p>
        </w:tc>
        <w:tc>
          <w:tcPr>
            <w:tcW w:w="1530" w:type="dxa"/>
            <w:tcBorders>
              <w:top w:val="nil"/>
              <w:left w:val="nil"/>
              <w:bottom w:val="single" w:sz="4" w:space="0" w:color="auto"/>
              <w:right w:val="nil"/>
            </w:tcBorders>
            <w:vAlign w:val="center"/>
            <w:hideMark/>
          </w:tcPr>
          <w:p w14:paraId="1064197C"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2</w:t>
            </w:r>
          </w:p>
        </w:tc>
        <w:tc>
          <w:tcPr>
            <w:tcW w:w="1119" w:type="dxa"/>
            <w:tcBorders>
              <w:top w:val="nil"/>
              <w:left w:val="nil"/>
              <w:bottom w:val="single" w:sz="4" w:space="0" w:color="auto"/>
              <w:right w:val="nil"/>
            </w:tcBorders>
            <w:vAlign w:val="center"/>
            <w:hideMark/>
          </w:tcPr>
          <w:p w14:paraId="6B3271C0"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8</w:t>
            </w:r>
          </w:p>
        </w:tc>
        <w:tc>
          <w:tcPr>
            <w:tcW w:w="1418" w:type="dxa"/>
            <w:tcBorders>
              <w:top w:val="nil"/>
              <w:left w:val="nil"/>
              <w:bottom w:val="single" w:sz="4" w:space="0" w:color="auto"/>
              <w:right w:val="nil"/>
            </w:tcBorders>
            <w:vAlign w:val="center"/>
            <w:hideMark/>
          </w:tcPr>
          <w:p w14:paraId="0942CC70"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2</w:t>
            </w:r>
          </w:p>
        </w:tc>
        <w:tc>
          <w:tcPr>
            <w:tcW w:w="1417" w:type="dxa"/>
            <w:tcBorders>
              <w:top w:val="nil"/>
              <w:left w:val="nil"/>
              <w:bottom w:val="single" w:sz="4" w:space="0" w:color="auto"/>
              <w:right w:val="nil"/>
            </w:tcBorders>
            <w:vAlign w:val="center"/>
            <w:hideMark/>
          </w:tcPr>
          <w:p w14:paraId="62A99790"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25</w:t>
            </w:r>
          </w:p>
        </w:tc>
        <w:tc>
          <w:tcPr>
            <w:tcW w:w="1843" w:type="dxa"/>
            <w:vMerge w:val="restart"/>
            <w:tcBorders>
              <w:top w:val="nil"/>
              <w:left w:val="nil"/>
              <w:bottom w:val="nil"/>
              <w:right w:val="single" w:sz="4" w:space="0" w:color="auto"/>
            </w:tcBorders>
            <w:vAlign w:val="center"/>
            <w:hideMark/>
          </w:tcPr>
          <w:p w14:paraId="1F2855F7" w14:textId="77777777" w:rsidR="00D17FF0" w:rsidRPr="00EC5748" w:rsidRDefault="00D17FF0" w:rsidP="00EC7D82">
            <w:pPr>
              <w:jc w:val="center"/>
              <w:rPr>
                <w:rFonts w:eastAsia="Times New Roman"/>
                <w:color w:val="000000"/>
                <w:lang w:eastAsia="fr-CA"/>
              </w:rPr>
            </w:pPr>
            <w:r w:rsidRPr="00EC5748">
              <w:rPr>
                <w:rFonts w:eastAsia="Times New Roman"/>
                <w:color w:val="000000"/>
                <w:lang w:eastAsia="fr-CA"/>
              </w:rPr>
              <w:t>25</w:t>
            </w:r>
          </w:p>
        </w:tc>
      </w:tr>
      <w:tr w:rsidR="00D17FF0" w:rsidRPr="00EC5748" w14:paraId="74F7CA03" w14:textId="77777777" w:rsidTr="004E323E">
        <w:trPr>
          <w:trHeight w:val="288"/>
        </w:trPr>
        <w:tc>
          <w:tcPr>
            <w:tcW w:w="1985" w:type="dxa"/>
            <w:vMerge/>
            <w:tcBorders>
              <w:left w:val="single" w:sz="4" w:space="0" w:color="auto"/>
              <w:right w:val="nil"/>
            </w:tcBorders>
            <w:vAlign w:val="center"/>
            <w:hideMark/>
          </w:tcPr>
          <w:p w14:paraId="0A9982CD" w14:textId="77777777" w:rsidR="00D17FF0" w:rsidRPr="00EC5748" w:rsidRDefault="00D17FF0" w:rsidP="00EC5748">
            <w:pPr>
              <w:rPr>
                <w:rFonts w:eastAsia="Times New Roman"/>
                <w:i/>
                <w:iCs/>
                <w:color w:val="000000"/>
                <w:lang w:eastAsia="fr-CA"/>
              </w:rPr>
            </w:pPr>
          </w:p>
        </w:tc>
        <w:tc>
          <w:tcPr>
            <w:tcW w:w="1745" w:type="dxa"/>
            <w:vMerge/>
            <w:tcBorders>
              <w:top w:val="nil"/>
              <w:left w:val="nil"/>
              <w:bottom w:val="single" w:sz="4" w:space="0" w:color="000000"/>
              <w:right w:val="nil"/>
            </w:tcBorders>
            <w:vAlign w:val="center"/>
            <w:hideMark/>
          </w:tcPr>
          <w:p w14:paraId="3E3BB409" w14:textId="77777777" w:rsidR="00D17FF0" w:rsidRPr="00EC5748" w:rsidRDefault="00D17FF0" w:rsidP="00EC5748">
            <w:pPr>
              <w:rPr>
                <w:rFonts w:eastAsia="Times New Roman"/>
                <w:color w:val="000000"/>
                <w:lang w:eastAsia="fr-CA"/>
              </w:rPr>
            </w:pPr>
          </w:p>
        </w:tc>
        <w:tc>
          <w:tcPr>
            <w:tcW w:w="1530" w:type="dxa"/>
            <w:tcBorders>
              <w:top w:val="nil"/>
              <w:left w:val="nil"/>
              <w:bottom w:val="single" w:sz="4" w:space="0" w:color="auto"/>
              <w:right w:val="nil"/>
            </w:tcBorders>
            <w:vAlign w:val="center"/>
            <w:hideMark/>
          </w:tcPr>
          <w:p w14:paraId="137694A4"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7</w:t>
            </w:r>
          </w:p>
        </w:tc>
        <w:tc>
          <w:tcPr>
            <w:tcW w:w="1119" w:type="dxa"/>
            <w:tcBorders>
              <w:top w:val="nil"/>
              <w:left w:val="nil"/>
              <w:bottom w:val="single" w:sz="4" w:space="0" w:color="auto"/>
              <w:right w:val="nil"/>
            </w:tcBorders>
            <w:vAlign w:val="center"/>
            <w:hideMark/>
          </w:tcPr>
          <w:p w14:paraId="4731031D"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8</w:t>
            </w:r>
          </w:p>
        </w:tc>
        <w:tc>
          <w:tcPr>
            <w:tcW w:w="1418" w:type="dxa"/>
            <w:tcBorders>
              <w:top w:val="nil"/>
              <w:left w:val="nil"/>
              <w:bottom w:val="single" w:sz="4" w:space="0" w:color="auto"/>
              <w:right w:val="nil"/>
            </w:tcBorders>
            <w:vAlign w:val="center"/>
            <w:hideMark/>
          </w:tcPr>
          <w:p w14:paraId="3E513777"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2</w:t>
            </w:r>
          </w:p>
        </w:tc>
        <w:tc>
          <w:tcPr>
            <w:tcW w:w="1417" w:type="dxa"/>
            <w:tcBorders>
              <w:top w:val="nil"/>
              <w:left w:val="nil"/>
              <w:bottom w:val="single" w:sz="4" w:space="0" w:color="auto"/>
              <w:right w:val="nil"/>
            </w:tcBorders>
            <w:vAlign w:val="center"/>
            <w:hideMark/>
          </w:tcPr>
          <w:p w14:paraId="4CC9B875"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25</w:t>
            </w:r>
          </w:p>
        </w:tc>
        <w:tc>
          <w:tcPr>
            <w:tcW w:w="1843" w:type="dxa"/>
            <w:vMerge/>
            <w:tcBorders>
              <w:top w:val="nil"/>
              <w:left w:val="nil"/>
              <w:bottom w:val="nil"/>
              <w:right w:val="single" w:sz="4" w:space="0" w:color="auto"/>
            </w:tcBorders>
            <w:vAlign w:val="center"/>
            <w:hideMark/>
          </w:tcPr>
          <w:p w14:paraId="71B62D61" w14:textId="77777777" w:rsidR="00D17FF0" w:rsidRPr="00EC5748" w:rsidRDefault="00D17FF0" w:rsidP="00EC7D82">
            <w:pPr>
              <w:jc w:val="center"/>
              <w:rPr>
                <w:rFonts w:eastAsia="Times New Roman"/>
                <w:color w:val="000000"/>
                <w:lang w:eastAsia="fr-CA"/>
              </w:rPr>
            </w:pPr>
          </w:p>
        </w:tc>
      </w:tr>
      <w:tr w:rsidR="00D17FF0" w:rsidRPr="00EC5748" w14:paraId="3EB30A92" w14:textId="77777777" w:rsidTr="004E323E">
        <w:trPr>
          <w:trHeight w:val="288"/>
        </w:trPr>
        <w:tc>
          <w:tcPr>
            <w:tcW w:w="1985" w:type="dxa"/>
            <w:vMerge/>
            <w:tcBorders>
              <w:left w:val="single" w:sz="4" w:space="0" w:color="auto"/>
              <w:right w:val="nil"/>
            </w:tcBorders>
            <w:vAlign w:val="center"/>
            <w:hideMark/>
          </w:tcPr>
          <w:p w14:paraId="610DC4F5" w14:textId="77777777" w:rsidR="00D17FF0" w:rsidRPr="00EC5748" w:rsidRDefault="00D17FF0" w:rsidP="00EC5748">
            <w:pPr>
              <w:rPr>
                <w:rFonts w:eastAsia="Times New Roman"/>
                <w:i/>
                <w:iCs/>
                <w:color w:val="000000"/>
                <w:lang w:eastAsia="fr-CA"/>
              </w:rPr>
            </w:pPr>
          </w:p>
        </w:tc>
        <w:tc>
          <w:tcPr>
            <w:tcW w:w="1745" w:type="dxa"/>
            <w:vMerge/>
            <w:tcBorders>
              <w:top w:val="nil"/>
              <w:left w:val="nil"/>
              <w:bottom w:val="single" w:sz="4" w:space="0" w:color="000000"/>
              <w:right w:val="nil"/>
            </w:tcBorders>
            <w:vAlign w:val="center"/>
            <w:hideMark/>
          </w:tcPr>
          <w:p w14:paraId="6849CC2F" w14:textId="77777777" w:rsidR="00D17FF0" w:rsidRPr="00EC5748" w:rsidRDefault="00D17FF0" w:rsidP="00EC5748">
            <w:pPr>
              <w:rPr>
                <w:rFonts w:eastAsia="Times New Roman"/>
                <w:color w:val="000000"/>
                <w:lang w:eastAsia="fr-CA"/>
              </w:rPr>
            </w:pPr>
          </w:p>
        </w:tc>
        <w:tc>
          <w:tcPr>
            <w:tcW w:w="1530" w:type="dxa"/>
            <w:tcBorders>
              <w:top w:val="nil"/>
              <w:left w:val="nil"/>
              <w:bottom w:val="single" w:sz="4" w:space="0" w:color="auto"/>
              <w:right w:val="nil"/>
            </w:tcBorders>
            <w:vAlign w:val="center"/>
            <w:hideMark/>
          </w:tcPr>
          <w:p w14:paraId="722B1777"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11</w:t>
            </w:r>
          </w:p>
        </w:tc>
        <w:tc>
          <w:tcPr>
            <w:tcW w:w="1119" w:type="dxa"/>
            <w:tcBorders>
              <w:top w:val="nil"/>
              <w:left w:val="nil"/>
              <w:bottom w:val="single" w:sz="4" w:space="0" w:color="auto"/>
              <w:right w:val="nil"/>
            </w:tcBorders>
            <w:vAlign w:val="center"/>
            <w:hideMark/>
          </w:tcPr>
          <w:p w14:paraId="7A301BC0"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8</w:t>
            </w:r>
          </w:p>
        </w:tc>
        <w:tc>
          <w:tcPr>
            <w:tcW w:w="1418" w:type="dxa"/>
            <w:tcBorders>
              <w:top w:val="nil"/>
              <w:left w:val="nil"/>
              <w:bottom w:val="single" w:sz="4" w:space="0" w:color="auto"/>
              <w:right w:val="nil"/>
            </w:tcBorders>
            <w:vAlign w:val="center"/>
            <w:hideMark/>
          </w:tcPr>
          <w:p w14:paraId="22A587C4"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2</w:t>
            </w:r>
          </w:p>
        </w:tc>
        <w:tc>
          <w:tcPr>
            <w:tcW w:w="1417" w:type="dxa"/>
            <w:tcBorders>
              <w:top w:val="nil"/>
              <w:left w:val="nil"/>
              <w:bottom w:val="single" w:sz="4" w:space="0" w:color="auto"/>
              <w:right w:val="nil"/>
            </w:tcBorders>
            <w:vAlign w:val="center"/>
            <w:hideMark/>
          </w:tcPr>
          <w:p w14:paraId="43563D26"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25</w:t>
            </w:r>
          </w:p>
        </w:tc>
        <w:tc>
          <w:tcPr>
            <w:tcW w:w="1843" w:type="dxa"/>
            <w:vMerge/>
            <w:tcBorders>
              <w:top w:val="nil"/>
              <w:left w:val="nil"/>
              <w:bottom w:val="nil"/>
              <w:right w:val="single" w:sz="4" w:space="0" w:color="auto"/>
            </w:tcBorders>
            <w:vAlign w:val="center"/>
            <w:hideMark/>
          </w:tcPr>
          <w:p w14:paraId="5E74B790" w14:textId="77777777" w:rsidR="00D17FF0" w:rsidRPr="00EC5748" w:rsidRDefault="00D17FF0" w:rsidP="00EC7D82">
            <w:pPr>
              <w:jc w:val="center"/>
              <w:rPr>
                <w:rFonts w:eastAsia="Times New Roman"/>
                <w:color w:val="000000"/>
                <w:lang w:eastAsia="fr-CA"/>
              </w:rPr>
            </w:pPr>
          </w:p>
        </w:tc>
      </w:tr>
      <w:tr w:rsidR="00D17FF0" w:rsidRPr="00EC5748" w14:paraId="59B6C20F" w14:textId="77777777" w:rsidTr="004E323E">
        <w:trPr>
          <w:trHeight w:val="288"/>
        </w:trPr>
        <w:tc>
          <w:tcPr>
            <w:tcW w:w="1985" w:type="dxa"/>
            <w:vMerge/>
            <w:tcBorders>
              <w:left w:val="single" w:sz="4" w:space="0" w:color="auto"/>
              <w:right w:val="nil"/>
            </w:tcBorders>
            <w:vAlign w:val="center"/>
            <w:hideMark/>
          </w:tcPr>
          <w:p w14:paraId="75A95528" w14:textId="77777777" w:rsidR="00D17FF0" w:rsidRPr="00EC5748" w:rsidRDefault="00D17FF0" w:rsidP="00EC5748">
            <w:pPr>
              <w:rPr>
                <w:rFonts w:eastAsia="Times New Roman"/>
                <w:i/>
                <w:iCs/>
                <w:color w:val="000000"/>
                <w:lang w:eastAsia="fr-CA"/>
              </w:rPr>
            </w:pPr>
          </w:p>
        </w:tc>
        <w:tc>
          <w:tcPr>
            <w:tcW w:w="1745" w:type="dxa"/>
            <w:vMerge/>
            <w:tcBorders>
              <w:top w:val="nil"/>
              <w:left w:val="nil"/>
              <w:bottom w:val="single" w:sz="4" w:space="0" w:color="000000"/>
              <w:right w:val="nil"/>
            </w:tcBorders>
            <w:vAlign w:val="center"/>
            <w:hideMark/>
          </w:tcPr>
          <w:p w14:paraId="7C34E2BA" w14:textId="77777777" w:rsidR="00D17FF0" w:rsidRPr="00EC5748" w:rsidRDefault="00D17FF0" w:rsidP="00EC5748">
            <w:pPr>
              <w:rPr>
                <w:rFonts w:eastAsia="Times New Roman"/>
                <w:color w:val="000000"/>
                <w:lang w:eastAsia="fr-CA"/>
              </w:rPr>
            </w:pPr>
          </w:p>
        </w:tc>
        <w:tc>
          <w:tcPr>
            <w:tcW w:w="1530" w:type="dxa"/>
            <w:tcBorders>
              <w:top w:val="nil"/>
              <w:left w:val="nil"/>
              <w:bottom w:val="single" w:sz="4" w:space="0" w:color="auto"/>
              <w:right w:val="nil"/>
            </w:tcBorders>
            <w:vAlign w:val="center"/>
            <w:hideMark/>
          </w:tcPr>
          <w:p w14:paraId="13EAFBE0"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17</w:t>
            </w:r>
          </w:p>
        </w:tc>
        <w:tc>
          <w:tcPr>
            <w:tcW w:w="1119" w:type="dxa"/>
            <w:tcBorders>
              <w:top w:val="nil"/>
              <w:left w:val="nil"/>
              <w:bottom w:val="single" w:sz="4" w:space="0" w:color="auto"/>
              <w:right w:val="nil"/>
            </w:tcBorders>
            <w:vAlign w:val="center"/>
            <w:hideMark/>
          </w:tcPr>
          <w:p w14:paraId="38CD6F0E"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8</w:t>
            </w:r>
          </w:p>
        </w:tc>
        <w:tc>
          <w:tcPr>
            <w:tcW w:w="1418" w:type="dxa"/>
            <w:tcBorders>
              <w:top w:val="nil"/>
              <w:left w:val="nil"/>
              <w:bottom w:val="single" w:sz="4" w:space="0" w:color="auto"/>
              <w:right w:val="nil"/>
            </w:tcBorders>
            <w:vAlign w:val="center"/>
            <w:hideMark/>
          </w:tcPr>
          <w:p w14:paraId="3C2A4C25"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vAlign w:val="center"/>
            <w:hideMark/>
          </w:tcPr>
          <w:p w14:paraId="3DB7FC09"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843" w:type="dxa"/>
            <w:vMerge/>
            <w:tcBorders>
              <w:top w:val="nil"/>
              <w:left w:val="nil"/>
              <w:bottom w:val="single" w:sz="4" w:space="0" w:color="auto"/>
              <w:right w:val="single" w:sz="4" w:space="0" w:color="auto"/>
            </w:tcBorders>
            <w:vAlign w:val="center"/>
            <w:hideMark/>
          </w:tcPr>
          <w:p w14:paraId="564CC1E1" w14:textId="77777777" w:rsidR="00D17FF0" w:rsidRPr="00EC5748" w:rsidRDefault="00D17FF0" w:rsidP="00EC7D82">
            <w:pPr>
              <w:jc w:val="center"/>
              <w:rPr>
                <w:rFonts w:eastAsia="Times New Roman"/>
                <w:color w:val="000000"/>
                <w:lang w:eastAsia="fr-CA"/>
              </w:rPr>
            </w:pPr>
          </w:p>
        </w:tc>
      </w:tr>
      <w:tr w:rsidR="00D17FF0" w:rsidRPr="00EC5748" w14:paraId="5C552324" w14:textId="77777777" w:rsidTr="004E323E">
        <w:trPr>
          <w:trHeight w:val="288"/>
        </w:trPr>
        <w:tc>
          <w:tcPr>
            <w:tcW w:w="1985" w:type="dxa"/>
            <w:vMerge/>
            <w:tcBorders>
              <w:left w:val="single" w:sz="4" w:space="0" w:color="auto"/>
              <w:bottom w:val="single" w:sz="4" w:space="0" w:color="auto"/>
              <w:right w:val="nil"/>
            </w:tcBorders>
            <w:vAlign w:val="center"/>
            <w:hideMark/>
          </w:tcPr>
          <w:p w14:paraId="533F93D0" w14:textId="77777777" w:rsidR="00D17FF0" w:rsidRPr="00EC5748" w:rsidRDefault="00D17FF0" w:rsidP="00EC5748">
            <w:pPr>
              <w:rPr>
                <w:rFonts w:eastAsia="Times New Roman"/>
                <w:i/>
                <w:iCs/>
                <w:color w:val="000000"/>
                <w:lang w:eastAsia="fr-CA"/>
              </w:rPr>
            </w:pPr>
          </w:p>
        </w:tc>
        <w:tc>
          <w:tcPr>
            <w:tcW w:w="1745" w:type="dxa"/>
            <w:vMerge/>
            <w:tcBorders>
              <w:top w:val="nil"/>
              <w:left w:val="nil"/>
              <w:bottom w:val="single" w:sz="4" w:space="0" w:color="auto"/>
              <w:right w:val="nil"/>
            </w:tcBorders>
            <w:vAlign w:val="center"/>
            <w:hideMark/>
          </w:tcPr>
          <w:p w14:paraId="49166EA6" w14:textId="77777777" w:rsidR="00D17FF0" w:rsidRPr="00EC5748" w:rsidRDefault="00D17FF0" w:rsidP="00EC5748">
            <w:pPr>
              <w:rPr>
                <w:rFonts w:eastAsia="Times New Roman"/>
                <w:color w:val="000000"/>
                <w:lang w:eastAsia="fr-CA"/>
              </w:rPr>
            </w:pPr>
          </w:p>
        </w:tc>
        <w:tc>
          <w:tcPr>
            <w:tcW w:w="1530" w:type="dxa"/>
            <w:tcBorders>
              <w:top w:val="nil"/>
              <w:left w:val="nil"/>
              <w:bottom w:val="single" w:sz="4" w:space="0" w:color="auto"/>
              <w:right w:val="nil"/>
            </w:tcBorders>
            <w:vAlign w:val="center"/>
            <w:hideMark/>
          </w:tcPr>
          <w:p w14:paraId="7C9FB935"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7 et 11</w:t>
            </w:r>
          </w:p>
        </w:tc>
        <w:tc>
          <w:tcPr>
            <w:tcW w:w="1119" w:type="dxa"/>
            <w:tcBorders>
              <w:top w:val="nil"/>
              <w:left w:val="nil"/>
              <w:bottom w:val="single" w:sz="4" w:space="0" w:color="auto"/>
              <w:right w:val="nil"/>
            </w:tcBorders>
            <w:vAlign w:val="center"/>
            <w:hideMark/>
          </w:tcPr>
          <w:p w14:paraId="16911D78"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8</w:t>
            </w:r>
          </w:p>
        </w:tc>
        <w:tc>
          <w:tcPr>
            <w:tcW w:w="1418" w:type="dxa"/>
            <w:tcBorders>
              <w:top w:val="nil"/>
              <w:left w:val="nil"/>
              <w:bottom w:val="single" w:sz="4" w:space="0" w:color="auto"/>
              <w:right w:val="nil"/>
            </w:tcBorders>
            <w:vAlign w:val="center"/>
            <w:hideMark/>
          </w:tcPr>
          <w:p w14:paraId="582437C5"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vAlign w:val="center"/>
            <w:hideMark/>
          </w:tcPr>
          <w:p w14:paraId="007C5CBB"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843" w:type="dxa"/>
            <w:tcBorders>
              <w:top w:val="single" w:sz="4" w:space="0" w:color="auto"/>
              <w:left w:val="nil"/>
              <w:bottom w:val="single" w:sz="4" w:space="0" w:color="auto"/>
              <w:right w:val="single" w:sz="4" w:space="0" w:color="auto"/>
            </w:tcBorders>
            <w:vAlign w:val="center"/>
            <w:hideMark/>
          </w:tcPr>
          <w:p w14:paraId="3DFE3572" w14:textId="38E8D4C1" w:rsidR="00D17FF0" w:rsidRPr="00EC5748" w:rsidRDefault="00EC7D82" w:rsidP="00EC7D82">
            <w:pPr>
              <w:jc w:val="center"/>
              <w:rPr>
                <w:rFonts w:eastAsia="Times New Roman"/>
                <w:color w:val="000000"/>
                <w:lang w:eastAsia="fr-CA"/>
              </w:rPr>
            </w:pPr>
            <w:r>
              <w:rPr>
                <w:rFonts w:eastAsia="Times New Roman"/>
                <w:color w:val="000000"/>
                <w:lang w:eastAsia="fr-CA"/>
              </w:rPr>
              <w:t>S.O.</w:t>
            </w:r>
          </w:p>
        </w:tc>
      </w:tr>
      <w:tr w:rsidR="00D17FF0" w:rsidRPr="00EC5748" w14:paraId="3ACB37EB" w14:textId="77777777" w:rsidTr="004E323E">
        <w:trPr>
          <w:trHeight w:val="288"/>
        </w:trPr>
        <w:tc>
          <w:tcPr>
            <w:tcW w:w="1985" w:type="dxa"/>
            <w:vMerge w:val="restart"/>
            <w:tcBorders>
              <w:top w:val="single" w:sz="4" w:space="0" w:color="auto"/>
              <w:left w:val="single" w:sz="4" w:space="0" w:color="auto"/>
              <w:bottom w:val="single" w:sz="4" w:space="0" w:color="auto"/>
              <w:right w:val="nil"/>
            </w:tcBorders>
            <w:vAlign w:val="center"/>
            <w:hideMark/>
          </w:tcPr>
          <w:p w14:paraId="49320162" w14:textId="77777777" w:rsidR="00D17FF0" w:rsidRPr="00EC5748" w:rsidRDefault="00D17FF0" w:rsidP="00EC5748">
            <w:pPr>
              <w:jc w:val="center"/>
              <w:rPr>
                <w:rFonts w:eastAsia="Times New Roman"/>
                <w:color w:val="000000"/>
                <w:lang w:eastAsia="fr-CA"/>
              </w:rPr>
            </w:pPr>
            <w:proofErr w:type="spellStart"/>
            <w:r w:rsidRPr="00EC5748">
              <w:rPr>
                <w:rFonts w:eastAsia="Times New Roman"/>
                <w:i/>
                <w:iCs/>
                <w:color w:val="000000"/>
                <w:lang w:eastAsia="fr-CA"/>
              </w:rPr>
              <w:t>Colletotrichum</w:t>
            </w:r>
            <w:proofErr w:type="spellEnd"/>
            <w:r w:rsidRPr="00EC5748">
              <w:rPr>
                <w:rFonts w:eastAsia="Times New Roman"/>
                <w:color w:val="000000"/>
                <w:lang w:eastAsia="fr-CA"/>
              </w:rPr>
              <w:t xml:space="preserve"> </w:t>
            </w:r>
            <w:proofErr w:type="spellStart"/>
            <w:r w:rsidRPr="00EC5748">
              <w:rPr>
                <w:rFonts w:eastAsia="Times New Roman"/>
                <w:color w:val="000000"/>
                <w:lang w:eastAsia="fr-CA"/>
              </w:rPr>
              <w:t>spp</w:t>
            </w:r>
            <w:proofErr w:type="spellEnd"/>
            <w:r w:rsidRPr="00EC5748">
              <w:rPr>
                <w:rFonts w:eastAsia="Times New Roman"/>
                <w:color w:val="000000"/>
                <w:lang w:eastAsia="fr-CA"/>
              </w:rPr>
              <w:t>.</w:t>
            </w:r>
          </w:p>
        </w:tc>
        <w:tc>
          <w:tcPr>
            <w:tcW w:w="1745" w:type="dxa"/>
            <w:vMerge w:val="restart"/>
            <w:tcBorders>
              <w:top w:val="single" w:sz="4" w:space="0" w:color="auto"/>
              <w:left w:val="nil"/>
              <w:bottom w:val="single" w:sz="4" w:space="0" w:color="000000"/>
              <w:right w:val="nil"/>
            </w:tcBorders>
            <w:vAlign w:val="center"/>
            <w:hideMark/>
          </w:tcPr>
          <w:p w14:paraId="1E6BD642"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Laurentides</w:t>
            </w:r>
          </w:p>
        </w:tc>
        <w:tc>
          <w:tcPr>
            <w:tcW w:w="1530" w:type="dxa"/>
            <w:tcBorders>
              <w:top w:val="single" w:sz="4" w:space="0" w:color="auto"/>
              <w:left w:val="nil"/>
              <w:bottom w:val="single" w:sz="4" w:space="0" w:color="auto"/>
              <w:right w:val="nil"/>
            </w:tcBorders>
            <w:vAlign w:val="center"/>
            <w:hideMark/>
          </w:tcPr>
          <w:p w14:paraId="2A076AA9"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7</w:t>
            </w:r>
          </w:p>
        </w:tc>
        <w:tc>
          <w:tcPr>
            <w:tcW w:w="1119" w:type="dxa"/>
            <w:tcBorders>
              <w:top w:val="single" w:sz="4" w:space="0" w:color="auto"/>
              <w:left w:val="nil"/>
              <w:bottom w:val="single" w:sz="4" w:space="0" w:color="auto"/>
              <w:right w:val="nil"/>
            </w:tcBorders>
            <w:vAlign w:val="center"/>
            <w:hideMark/>
          </w:tcPr>
          <w:p w14:paraId="79939036"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w:t>
            </w:r>
          </w:p>
        </w:tc>
        <w:tc>
          <w:tcPr>
            <w:tcW w:w="1418" w:type="dxa"/>
            <w:tcBorders>
              <w:top w:val="single" w:sz="4" w:space="0" w:color="auto"/>
              <w:left w:val="nil"/>
              <w:bottom w:val="single" w:sz="4" w:space="0" w:color="auto"/>
              <w:right w:val="nil"/>
            </w:tcBorders>
            <w:vAlign w:val="center"/>
            <w:hideMark/>
          </w:tcPr>
          <w:p w14:paraId="2D105803"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w:t>
            </w:r>
          </w:p>
        </w:tc>
        <w:tc>
          <w:tcPr>
            <w:tcW w:w="1417" w:type="dxa"/>
            <w:tcBorders>
              <w:top w:val="single" w:sz="4" w:space="0" w:color="auto"/>
              <w:left w:val="nil"/>
              <w:bottom w:val="single" w:sz="4" w:space="0" w:color="auto"/>
              <w:right w:val="nil"/>
            </w:tcBorders>
            <w:vAlign w:val="center"/>
            <w:hideMark/>
          </w:tcPr>
          <w:p w14:paraId="670D303F"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100</w:t>
            </w:r>
          </w:p>
        </w:tc>
        <w:tc>
          <w:tcPr>
            <w:tcW w:w="1843" w:type="dxa"/>
            <w:vMerge w:val="restart"/>
            <w:tcBorders>
              <w:top w:val="single" w:sz="4" w:space="0" w:color="auto"/>
              <w:left w:val="nil"/>
              <w:bottom w:val="nil"/>
              <w:right w:val="single" w:sz="4" w:space="0" w:color="auto"/>
            </w:tcBorders>
            <w:vAlign w:val="center"/>
            <w:hideMark/>
          </w:tcPr>
          <w:p w14:paraId="0000D3D5" w14:textId="77777777" w:rsidR="00D17FF0" w:rsidRPr="00EC5748" w:rsidRDefault="00D17FF0" w:rsidP="00EC7D82">
            <w:pPr>
              <w:jc w:val="center"/>
              <w:rPr>
                <w:rFonts w:eastAsia="Times New Roman"/>
                <w:color w:val="000000"/>
                <w:lang w:eastAsia="fr-CA"/>
              </w:rPr>
            </w:pPr>
            <w:r w:rsidRPr="00EC5748">
              <w:rPr>
                <w:rFonts w:eastAsia="Times New Roman"/>
                <w:color w:val="000000"/>
                <w:lang w:eastAsia="fr-CA"/>
              </w:rPr>
              <w:t>100</w:t>
            </w:r>
          </w:p>
        </w:tc>
      </w:tr>
      <w:tr w:rsidR="00D17FF0" w:rsidRPr="00EC5748" w14:paraId="7C63810C" w14:textId="77777777" w:rsidTr="004E323E">
        <w:trPr>
          <w:trHeight w:val="288"/>
        </w:trPr>
        <w:tc>
          <w:tcPr>
            <w:tcW w:w="1985" w:type="dxa"/>
            <w:vMerge/>
            <w:tcBorders>
              <w:top w:val="nil"/>
              <w:left w:val="single" w:sz="4" w:space="0" w:color="auto"/>
              <w:bottom w:val="single" w:sz="4" w:space="0" w:color="auto"/>
              <w:right w:val="nil"/>
            </w:tcBorders>
            <w:vAlign w:val="center"/>
            <w:hideMark/>
          </w:tcPr>
          <w:p w14:paraId="212D0C4A" w14:textId="77777777" w:rsidR="00D17FF0" w:rsidRPr="00EC5748" w:rsidRDefault="00D17FF0" w:rsidP="00EC5748">
            <w:pPr>
              <w:rPr>
                <w:rFonts w:eastAsia="Times New Roman"/>
                <w:color w:val="000000"/>
                <w:lang w:eastAsia="fr-CA"/>
              </w:rPr>
            </w:pPr>
          </w:p>
        </w:tc>
        <w:tc>
          <w:tcPr>
            <w:tcW w:w="1745" w:type="dxa"/>
            <w:vMerge/>
            <w:tcBorders>
              <w:top w:val="nil"/>
              <w:left w:val="nil"/>
              <w:bottom w:val="single" w:sz="4" w:space="0" w:color="000000"/>
              <w:right w:val="nil"/>
            </w:tcBorders>
            <w:vAlign w:val="center"/>
            <w:hideMark/>
          </w:tcPr>
          <w:p w14:paraId="583D32F2" w14:textId="77777777" w:rsidR="00D17FF0" w:rsidRPr="00EC5748" w:rsidRDefault="00D17FF0" w:rsidP="00EC5748">
            <w:pPr>
              <w:rPr>
                <w:rFonts w:eastAsia="Times New Roman"/>
                <w:color w:val="000000"/>
                <w:lang w:eastAsia="fr-CA"/>
              </w:rPr>
            </w:pPr>
          </w:p>
        </w:tc>
        <w:tc>
          <w:tcPr>
            <w:tcW w:w="1530" w:type="dxa"/>
            <w:tcBorders>
              <w:top w:val="nil"/>
              <w:left w:val="nil"/>
              <w:bottom w:val="single" w:sz="4" w:space="0" w:color="auto"/>
              <w:right w:val="nil"/>
            </w:tcBorders>
            <w:vAlign w:val="center"/>
            <w:hideMark/>
          </w:tcPr>
          <w:p w14:paraId="3ED8535E"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11</w:t>
            </w:r>
          </w:p>
        </w:tc>
        <w:tc>
          <w:tcPr>
            <w:tcW w:w="1119" w:type="dxa"/>
            <w:tcBorders>
              <w:top w:val="nil"/>
              <w:left w:val="nil"/>
              <w:bottom w:val="single" w:sz="4" w:space="0" w:color="auto"/>
              <w:right w:val="nil"/>
            </w:tcBorders>
            <w:vAlign w:val="center"/>
            <w:hideMark/>
          </w:tcPr>
          <w:p w14:paraId="0C0314BE"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w:t>
            </w:r>
          </w:p>
        </w:tc>
        <w:tc>
          <w:tcPr>
            <w:tcW w:w="1418" w:type="dxa"/>
            <w:tcBorders>
              <w:top w:val="nil"/>
              <w:left w:val="nil"/>
              <w:bottom w:val="single" w:sz="4" w:space="0" w:color="auto"/>
              <w:right w:val="nil"/>
            </w:tcBorders>
            <w:vAlign w:val="center"/>
            <w:hideMark/>
          </w:tcPr>
          <w:p w14:paraId="6D3F7D76"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w:t>
            </w:r>
          </w:p>
        </w:tc>
        <w:tc>
          <w:tcPr>
            <w:tcW w:w="1417" w:type="dxa"/>
            <w:tcBorders>
              <w:top w:val="nil"/>
              <w:left w:val="nil"/>
              <w:bottom w:val="single" w:sz="4" w:space="0" w:color="auto"/>
              <w:right w:val="nil"/>
            </w:tcBorders>
            <w:vAlign w:val="center"/>
            <w:hideMark/>
          </w:tcPr>
          <w:p w14:paraId="37BCF9CD"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100</w:t>
            </w:r>
          </w:p>
        </w:tc>
        <w:tc>
          <w:tcPr>
            <w:tcW w:w="1843" w:type="dxa"/>
            <w:vMerge/>
            <w:tcBorders>
              <w:top w:val="nil"/>
              <w:left w:val="nil"/>
              <w:bottom w:val="single" w:sz="4" w:space="0" w:color="auto"/>
              <w:right w:val="single" w:sz="4" w:space="0" w:color="auto"/>
            </w:tcBorders>
            <w:vAlign w:val="center"/>
            <w:hideMark/>
          </w:tcPr>
          <w:p w14:paraId="67C7F088" w14:textId="77777777" w:rsidR="00D17FF0" w:rsidRPr="00EC5748" w:rsidRDefault="00D17FF0" w:rsidP="00EC7D82">
            <w:pPr>
              <w:jc w:val="center"/>
              <w:rPr>
                <w:rFonts w:eastAsia="Times New Roman"/>
                <w:color w:val="000000"/>
                <w:lang w:eastAsia="fr-CA"/>
              </w:rPr>
            </w:pPr>
          </w:p>
        </w:tc>
      </w:tr>
      <w:tr w:rsidR="00D17FF0" w:rsidRPr="00EC5748" w14:paraId="21A3565F" w14:textId="77777777" w:rsidTr="004E323E">
        <w:trPr>
          <w:trHeight w:val="288"/>
        </w:trPr>
        <w:tc>
          <w:tcPr>
            <w:tcW w:w="1985" w:type="dxa"/>
            <w:vMerge/>
            <w:tcBorders>
              <w:top w:val="nil"/>
              <w:left w:val="single" w:sz="4" w:space="0" w:color="auto"/>
              <w:bottom w:val="single" w:sz="4" w:space="0" w:color="auto"/>
              <w:right w:val="nil"/>
            </w:tcBorders>
            <w:vAlign w:val="center"/>
            <w:hideMark/>
          </w:tcPr>
          <w:p w14:paraId="105A9BEE" w14:textId="77777777" w:rsidR="00D17FF0" w:rsidRPr="00EC5748" w:rsidRDefault="00D17FF0" w:rsidP="00EC5748">
            <w:pPr>
              <w:rPr>
                <w:rFonts w:eastAsia="Times New Roman"/>
                <w:color w:val="000000"/>
                <w:lang w:eastAsia="fr-CA"/>
              </w:rPr>
            </w:pPr>
          </w:p>
        </w:tc>
        <w:tc>
          <w:tcPr>
            <w:tcW w:w="1745" w:type="dxa"/>
            <w:vMerge/>
            <w:tcBorders>
              <w:top w:val="nil"/>
              <w:left w:val="nil"/>
              <w:bottom w:val="single" w:sz="4" w:space="0" w:color="000000"/>
              <w:right w:val="nil"/>
            </w:tcBorders>
            <w:vAlign w:val="center"/>
            <w:hideMark/>
          </w:tcPr>
          <w:p w14:paraId="7F1CA298" w14:textId="77777777" w:rsidR="00D17FF0" w:rsidRPr="00EC5748" w:rsidRDefault="00D17FF0" w:rsidP="00EC5748">
            <w:pPr>
              <w:rPr>
                <w:rFonts w:eastAsia="Times New Roman"/>
                <w:color w:val="000000"/>
                <w:lang w:eastAsia="fr-CA"/>
              </w:rPr>
            </w:pPr>
          </w:p>
        </w:tc>
        <w:tc>
          <w:tcPr>
            <w:tcW w:w="1530" w:type="dxa"/>
            <w:tcBorders>
              <w:top w:val="nil"/>
              <w:left w:val="nil"/>
              <w:bottom w:val="single" w:sz="4" w:space="0" w:color="auto"/>
              <w:right w:val="nil"/>
            </w:tcBorders>
            <w:vAlign w:val="center"/>
            <w:hideMark/>
          </w:tcPr>
          <w:p w14:paraId="089696B6"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7 et 11</w:t>
            </w:r>
          </w:p>
        </w:tc>
        <w:tc>
          <w:tcPr>
            <w:tcW w:w="1119" w:type="dxa"/>
            <w:tcBorders>
              <w:top w:val="nil"/>
              <w:left w:val="nil"/>
              <w:bottom w:val="single" w:sz="4" w:space="0" w:color="auto"/>
              <w:right w:val="nil"/>
            </w:tcBorders>
            <w:vAlign w:val="center"/>
            <w:hideMark/>
          </w:tcPr>
          <w:p w14:paraId="14207067"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w:t>
            </w:r>
          </w:p>
        </w:tc>
        <w:tc>
          <w:tcPr>
            <w:tcW w:w="1418" w:type="dxa"/>
            <w:tcBorders>
              <w:top w:val="nil"/>
              <w:left w:val="nil"/>
              <w:bottom w:val="single" w:sz="4" w:space="0" w:color="auto"/>
              <w:right w:val="nil"/>
            </w:tcBorders>
            <w:vAlign w:val="center"/>
            <w:hideMark/>
          </w:tcPr>
          <w:p w14:paraId="3B84E04E"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w:t>
            </w:r>
          </w:p>
        </w:tc>
        <w:tc>
          <w:tcPr>
            <w:tcW w:w="1417" w:type="dxa"/>
            <w:tcBorders>
              <w:top w:val="nil"/>
              <w:left w:val="nil"/>
              <w:bottom w:val="single" w:sz="4" w:space="0" w:color="auto"/>
              <w:right w:val="nil"/>
            </w:tcBorders>
            <w:vAlign w:val="center"/>
            <w:hideMark/>
          </w:tcPr>
          <w:p w14:paraId="739DF5B6"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100</w:t>
            </w:r>
          </w:p>
        </w:tc>
        <w:tc>
          <w:tcPr>
            <w:tcW w:w="1843" w:type="dxa"/>
            <w:tcBorders>
              <w:top w:val="single" w:sz="4" w:space="0" w:color="auto"/>
              <w:left w:val="nil"/>
              <w:bottom w:val="single" w:sz="4" w:space="0" w:color="auto"/>
              <w:right w:val="single" w:sz="4" w:space="0" w:color="auto"/>
            </w:tcBorders>
            <w:vAlign w:val="center"/>
            <w:hideMark/>
          </w:tcPr>
          <w:p w14:paraId="0DE83E1B" w14:textId="557B0EC1" w:rsidR="00D17FF0" w:rsidRPr="00EC5748" w:rsidRDefault="00EC7D82" w:rsidP="00EC7D82">
            <w:pPr>
              <w:jc w:val="center"/>
              <w:rPr>
                <w:rFonts w:eastAsia="Times New Roman"/>
                <w:color w:val="000000"/>
                <w:lang w:eastAsia="fr-CA"/>
              </w:rPr>
            </w:pPr>
            <w:r>
              <w:rPr>
                <w:rFonts w:eastAsia="Times New Roman"/>
                <w:color w:val="000000"/>
                <w:lang w:eastAsia="fr-CA"/>
              </w:rPr>
              <w:t>S.O.</w:t>
            </w:r>
          </w:p>
        </w:tc>
      </w:tr>
      <w:tr w:rsidR="00D17FF0" w:rsidRPr="00EC5748" w14:paraId="784C993C" w14:textId="77777777" w:rsidTr="004E323E">
        <w:trPr>
          <w:trHeight w:val="288"/>
        </w:trPr>
        <w:tc>
          <w:tcPr>
            <w:tcW w:w="1985" w:type="dxa"/>
            <w:vMerge/>
            <w:tcBorders>
              <w:top w:val="nil"/>
              <w:left w:val="single" w:sz="4" w:space="0" w:color="auto"/>
              <w:bottom w:val="single" w:sz="4" w:space="0" w:color="auto"/>
              <w:right w:val="nil"/>
            </w:tcBorders>
            <w:vAlign w:val="center"/>
            <w:hideMark/>
          </w:tcPr>
          <w:p w14:paraId="123535B5" w14:textId="77777777" w:rsidR="00D17FF0" w:rsidRPr="00EC5748" w:rsidRDefault="00D17FF0" w:rsidP="00EC5748">
            <w:pPr>
              <w:rPr>
                <w:rFonts w:eastAsia="Times New Roman"/>
                <w:color w:val="000000"/>
                <w:lang w:eastAsia="fr-CA"/>
              </w:rPr>
            </w:pPr>
          </w:p>
        </w:tc>
        <w:tc>
          <w:tcPr>
            <w:tcW w:w="1745" w:type="dxa"/>
            <w:vMerge w:val="restart"/>
            <w:tcBorders>
              <w:top w:val="nil"/>
              <w:left w:val="nil"/>
              <w:bottom w:val="nil"/>
              <w:right w:val="nil"/>
            </w:tcBorders>
            <w:vAlign w:val="center"/>
            <w:hideMark/>
          </w:tcPr>
          <w:p w14:paraId="1E5A2744"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Lanaudière</w:t>
            </w:r>
          </w:p>
        </w:tc>
        <w:tc>
          <w:tcPr>
            <w:tcW w:w="1530" w:type="dxa"/>
            <w:tcBorders>
              <w:top w:val="nil"/>
              <w:left w:val="nil"/>
              <w:bottom w:val="single" w:sz="4" w:space="0" w:color="auto"/>
              <w:right w:val="nil"/>
            </w:tcBorders>
            <w:vAlign w:val="center"/>
            <w:hideMark/>
          </w:tcPr>
          <w:p w14:paraId="03A10C43"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7</w:t>
            </w:r>
          </w:p>
        </w:tc>
        <w:tc>
          <w:tcPr>
            <w:tcW w:w="1119" w:type="dxa"/>
            <w:tcBorders>
              <w:top w:val="nil"/>
              <w:left w:val="nil"/>
              <w:bottom w:val="single" w:sz="4" w:space="0" w:color="auto"/>
              <w:right w:val="nil"/>
            </w:tcBorders>
            <w:vAlign w:val="center"/>
            <w:hideMark/>
          </w:tcPr>
          <w:p w14:paraId="54600E6D"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13</w:t>
            </w:r>
          </w:p>
        </w:tc>
        <w:tc>
          <w:tcPr>
            <w:tcW w:w="1418" w:type="dxa"/>
            <w:tcBorders>
              <w:top w:val="nil"/>
              <w:left w:val="nil"/>
              <w:bottom w:val="single" w:sz="4" w:space="0" w:color="auto"/>
              <w:right w:val="nil"/>
            </w:tcBorders>
            <w:vAlign w:val="center"/>
            <w:hideMark/>
          </w:tcPr>
          <w:p w14:paraId="04164C42"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13</w:t>
            </w:r>
          </w:p>
        </w:tc>
        <w:tc>
          <w:tcPr>
            <w:tcW w:w="1417" w:type="dxa"/>
            <w:tcBorders>
              <w:top w:val="nil"/>
              <w:left w:val="nil"/>
              <w:bottom w:val="single" w:sz="4" w:space="0" w:color="auto"/>
              <w:right w:val="nil"/>
            </w:tcBorders>
            <w:vAlign w:val="center"/>
            <w:hideMark/>
          </w:tcPr>
          <w:p w14:paraId="66783F97"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100</w:t>
            </w:r>
          </w:p>
        </w:tc>
        <w:tc>
          <w:tcPr>
            <w:tcW w:w="1843" w:type="dxa"/>
            <w:vMerge w:val="restart"/>
            <w:tcBorders>
              <w:top w:val="single" w:sz="4" w:space="0" w:color="auto"/>
              <w:left w:val="nil"/>
              <w:bottom w:val="nil"/>
              <w:right w:val="single" w:sz="4" w:space="0" w:color="auto"/>
            </w:tcBorders>
            <w:vAlign w:val="center"/>
            <w:hideMark/>
          </w:tcPr>
          <w:p w14:paraId="2E2C65DD" w14:textId="77777777" w:rsidR="00D17FF0" w:rsidRPr="00EC5748" w:rsidRDefault="00D17FF0" w:rsidP="00EC7D82">
            <w:pPr>
              <w:jc w:val="center"/>
              <w:rPr>
                <w:rFonts w:eastAsia="Times New Roman"/>
                <w:color w:val="000000"/>
                <w:lang w:eastAsia="fr-CA"/>
              </w:rPr>
            </w:pPr>
            <w:r w:rsidRPr="00EC5748">
              <w:rPr>
                <w:rFonts w:eastAsia="Times New Roman"/>
                <w:color w:val="000000"/>
                <w:lang w:eastAsia="fr-CA"/>
              </w:rPr>
              <w:t>0</w:t>
            </w:r>
          </w:p>
        </w:tc>
      </w:tr>
      <w:tr w:rsidR="00D17FF0" w:rsidRPr="00EC5748" w14:paraId="3A4F54B8" w14:textId="77777777" w:rsidTr="004E323E">
        <w:trPr>
          <w:trHeight w:val="288"/>
        </w:trPr>
        <w:tc>
          <w:tcPr>
            <w:tcW w:w="1985" w:type="dxa"/>
            <w:vMerge/>
            <w:tcBorders>
              <w:top w:val="nil"/>
              <w:left w:val="single" w:sz="4" w:space="0" w:color="auto"/>
              <w:bottom w:val="single" w:sz="4" w:space="0" w:color="auto"/>
              <w:right w:val="nil"/>
            </w:tcBorders>
            <w:vAlign w:val="center"/>
            <w:hideMark/>
          </w:tcPr>
          <w:p w14:paraId="2D9F9DB7" w14:textId="77777777" w:rsidR="00D17FF0" w:rsidRPr="00EC5748" w:rsidRDefault="00D17FF0" w:rsidP="00EC5748">
            <w:pPr>
              <w:rPr>
                <w:rFonts w:eastAsia="Times New Roman"/>
                <w:color w:val="000000"/>
                <w:lang w:eastAsia="fr-CA"/>
              </w:rPr>
            </w:pPr>
          </w:p>
        </w:tc>
        <w:tc>
          <w:tcPr>
            <w:tcW w:w="1745" w:type="dxa"/>
            <w:vMerge/>
            <w:tcBorders>
              <w:top w:val="nil"/>
              <w:left w:val="nil"/>
              <w:bottom w:val="nil"/>
              <w:right w:val="nil"/>
            </w:tcBorders>
            <w:vAlign w:val="center"/>
            <w:hideMark/>
          </w:tcPr>
          <w:p w14:paraId="5F724654" w14:textId="77777777" w:rsidR="00D17FF0" w:rsidRPr="00EC5748" w:rsidRDefault="00D17FF0" w:rsidP="00EC5748">
            <w:pPr>
              <w:rPr>
                <w:rFonts w:eastAsia="Times New Roman"/>
                <w:color w:val="000000"/>
                <w:lang w:eastAsia="fr-CA"/>
              </w:rPr>
            </w:pPr>
          </w:p>
        </w:tc>
        <w:tc>
          <w:tcPr>
            <w:tcW w:w="1530" w:type="dxa"/>
            <w:tcBorders>
              <w:top w:val="nil"/>
              <w:left w:val="nil"/>
              <w:bottom w:val="single" w:sz="4" w:space="0" w:color="auto"/>
              <w:right w:val="nil"/>
            </w:tcBorders>
            <w:vAlign w:val="center"/>
            <w:hideMark/>
          </w:tcPr>
          <w:p w14:paraId="3E00DDFB"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11</w:t>
            </w:r>
          </w:p>
        </w:tc>
        <w:tc>
          <w:tcPr>
            <w:tcW w:w="1119" w:type="dxa"/>
            <w:tcBorders>
              <w:top w:val="nil"/>
              <w:left w:val="nil"/>
              <w:bottom w:val="single" w:sz="4" w:space="0" w:color="auto"/>
              <w:right w:val="nil"/>
            </w:tcBorders>
            <w:vAlign w:val="center"/>
            <w:hideMark/>
          </w:tcPr>
          <w:p w14:paraId="4250BB61"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13</w:t>
            </w:r>
          </w:p>
        </w:tc>
        <w:tc>
          <w:tcPr>
            <w:tcW w:w="1418" w:type="dxa"/>
            <w:tcBorders>
              <w:top w:val="nil"/>
              <w:left w:val="nil"/>
              <w:bottom w:val="single" w:sz="4" w:space="0" w:color="auto"/>
              <w:right w:val="nil"/>
            </w:tcBorders>
            <w:vAlign w:val="center"/>
            <w:hideMark/>
          </w:tcPr>
          <w:p w14:paraId="2E313FDF"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vAlign w:val="center"/>
            <w:hideMark/>
          </w:tcPr>
          <w:p w14:paraId="326C1A5D"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843" w:type="dxa"/>
            <w:vMerge/>
            <w:tcBorders>
              <w:top w:val="nil"/>
              <w:left w:val="nil"/>
              <w:bottom w:val="single" w:sz="4" w:space="0" w:color="auto"/>
              <w:right w:val="single" w:sz="4" w:space="0" w:color="auto"/>
            </w:tcBorders>
            <w:vAlign w:val="center"/>
            <w:hideMark/>
          </w:tcPr>
          <w:p w14:paraId="783C3F25" w14:textId="77777777" w:rsidR="00D17FF0" w:rsidRPr="00EC5748" w:rsidRDefault="00D17FF0" w:rsidP="00EC7D82">
            <w:pPr>
              <w:jc w:val="center"/>
              <w:rPr>
                <w:rFonts w:eastAsia="Times New Roman"/>
                <w:color w:val="000000"/>
                <w:lang w:eastAsia="fr-CA"/>
              </w:rPr>
            </w:pPr>
          </w:p>
        </w:tc>
      </w:tr>
      <w:tr w:rsidR="00D17FF0" w:rsidRPr="00EC5748" w14:paraId="792B9061" w14:textId="77777777" w:rsidTr="004E323E">
        <w:trPr>
          <w:trHeight w:val="288"/>
        </w:trPr>
        <w:tc>
          <w:tcPr>
            <w:tcW w:w="1985" w:type="dxa"/>
            <w:vMerge/>
            <w:tcBorders>
              <w:top w:val="nil"/>
              <w:left w:val="single" w:sz="4" w:space="0" w:color="auto"/>
              <w:bottom w:val="single" w:sz="4" w:space="0" w:color="auto"/>
              <w:right w:val="nil"/>
            </w:tcBorders>
            <w:vAlign w:val="center"/>
            <w:hideMark/>
          </w:tcPr>
          <w:p w14:paraId="1071EE70" w14:textId="77777777" w:rsidR="00D17FF0" w:rsidRPr="00EC5748" w:rsidRDefault="00D17FF0" w:rsidP="00EC5748">
            <w:pPr>
              <w:rPr>
                <w:rFonts w:eastAsia="Times New Roman"/>
                <w:color w:val="000000"/>
                <w:lang w:eastAsia="fr-CA"/>
              </w:rPr>
            </w:pPr>
          </w:p>
        </w:tc>
        <w:tc>
          <w:tcPr>
            <w:tcW w:w="1745" w:type="dxa"/>
            <w:vMerge/>
            <w:tcBorders>
              <w:top w:val="nil"/>
              <w:left w:val="nil"/>
              <w:bottom w:val="nil"/>
              <w:right w:val="nil"/>
            </w:tcBorders>
            <w:vAlign w:val="center"/>
            <w:hideMark/>
          </w:tcPr>
          <w:p w14:paraId="7DD4FF1F" w14:textId="77777777" w:rsidR="00D17FF0" w:rsidRPr="00EC5748" w:rsidRDefault="00D17FF0" w:rsidP="00EC5748">
            <w:pPr>
              <w:rPr>
                <w:rFonts w:eastAsia="Times New Roman"/>
                <w:color w:val="000000"/>
                <w:lang w:eastAsia="fr-CA"/>
              </w:rPr>
            </w:pPr>
          </w:p>
        </w:tc>
        <w:tc>
          <w:tcPr>
            <w:tcW w:w="1530" w:type="dxa"/>
            <w:tcBorders>
              <w:top w:val="nil"/>
              <w:left w:val="nil"/>
              <w:bottom w:val="nil"/>
              <w:right w:val="nil"/>
            </w:tcBorders>
            <w:vAlign w:val="center"/>
            <w:hideMark/>
          </w:tcPr>
          <w:p w14:paraId="6F4C508E"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7 et 11</w:t>
            </w:r>
          </w:p>
        </w:tc>
        <w:tc>
          <w:tcPr>
            <w:tcW w:w="1119" w:type="dxa"/>
            <w:tcBorders>
              <w:top w:val="nil"/>
              <w:left w:val="nil"/>
              <w:bottom w:val="nil"/>
              <w:right w:val="nil"/>
            </w:tcBorders>
            <w:vAlign w:val="center"/>
            <w:hideMark/>
          </w:tcPr>
          <w:p w14:paraId="5DBB4102"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13</w:t>
            </w:r>
          </w:p>
        </w:tc>
        <w:tc>
          <w:tcPr>
            <w:tcW w:w="1418" w:type="dxa"/>
            <w:tcBorders>
              <w:top w:val="nil"/>
              <w:left w:val="nil"/>
              <w:bottom w:val="nil"/>
              <w:right w:val="nil"/>
            </w:tcBorders>
            <w:vAlign w:val="center"/>
            <w:hideMark/>
          </w:tcPr>
          <w:p w14:paraId="73B9D971"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nil"/>
              <w:right w:val="nil"/>
            </w:tcBorders>
            <w:vAlign w:val="center"/>
            <w:hideMark/>
          </w:tcPr>
          <w:p w14:paraId="3BD7BD96"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843" w:type="dxa"/>
            <w:tcBorders>
              <w:top w:val="single" w:sz="4" w:space="0" w:color="auto"/>
              <w:left w:val="nil"/>
              <w:bottom w:val="single" w:sz="4" w:space="0" w:color="auto"/>
              <w:right w:val="single" w:sz="4" w:space="0" w:color="auto"/>
            </w:tcBorders>
            <w:vAlign w:val="center"/>
            <w:hideMark/>
          </w:tcPr>
          <w:p w14:paraId="5E90EEF2" w14:textId="04088241" w:rsidR="00D17FF0" w:rsidRPr="00EC5748" w:rsidRDefault="00EC7D82" w:rsidP="00EC7D82">
            <w:pPr>
              <w:jc w:val="center"/>
              <w:rPr>
                <w:rFonts w:eastAsia="Times New Roman"/>
                <w:color w:val="000000"/>
                <w:lang w:eastAsia="fr-CA"/>
              </w:rPr>
            </w:pPr>
            <w:r>
              <w:rPr>
                <w:rFonts w:eastAsia="Times New Roman"/>
                <w:color w:val="000000"/>
                <w:lang w:eastAsia="fr-CA"/>
              </w:rPr>
              <w:t>S.O.</w:t>
            </w:r>
          </w:p>
        </w:tc>
      </w:tr>
      <w:tr w:rsidR="00D17FF0" w:rsidRPr="00EC5748" w14:paraId="5A433442" w14:textId="77777777" w:rsidTr="004E323E">
        <w:trPr>
          <w:trHeight w:val="288"/>
        </w:trPr>
        <w:tc>
          <w:tcPr>
            <w:tcW w:w="1985" w:type="dxa"/>
            <w:vMerge/>
            <w:tcBorders>
              <w:top w:val="nil"/>
              <w:left w:val="single" w:sz="4" w:space="0" w:color="auto"/>
              <w:bottom w:val="single" w:sz="4" w:space="0" w:color="auto"/>
              <w:right w:val="nil"/>
            </w:tcBorders>
            <w:vAlign w:val="center"/>
            <w:hideMark/>
          </w:tcPr>
          <w:p w14:paraId="174ECA9C" w14:textId="77777777" w:rsidR="00D17FF0" w:rsidRPr="00EC5748" w:rsidRDefault="00D17FF0" w:rsidP="00EC5748">
            <w:pPr>
              <w:rPr>
                <w:rFonts w:eastAsia="Times New Roman"/>
                <w:color w:val="000000"/>
                <w:lang w:eastAsia="fr-CA"/>
              </w:rPr>
            </w:pPr>
          </w:p>
        </w:tc>
        <w:tc>
          <w:tcPr>
            <w:tcW w:w="1745" w:type="dxa"/>
            <w:vMerge w:val="restart"/>
            <w:tcBorders>
              <w:top w:val="single" w:sz="4" w:space="0" w:color="auto"/>
              <w:left w:val="nil"/>
              <w:bottom w:val="single" w:sz="4" w:space="0" w:color="000000"/>
              <w:right w:val="nil"/>
            </w:tcBorders>
            <w:vAlign w:val="center"/>
            <w:hideMark/>
          </w:tcPr>
          <w:p w14:paraId="44BF6F67"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Montérégie</w:t>
            </w:r>
          </w:p>
        </w:tc>
        <w:tc>
          <w:tcPr>
            <w:tcW w:w="1530" w:type="dxa"/>
            <w:tcBorders>
              <w:top w:val="single" w:sz="4" w:space="0" w:color="auto"/>
              <w:left w:val="nil"/>
              <w:bottom w:val="single" w:sz="4" w:space="0" w:color="auto"/>
              <w:right w:val="nil"/>
            </w:tcBorders>
            <w:vAlign w:val="center"/>
            <w:hideMark/>
          </w:tcPr>
          <w:p w14:paraId="7F21AD1D"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7</w:t>
            </w:r>
          </w:p>
        </w:tc>
        <w:tc>
          <w:tcPr>
            <w:tcW w:w="1119" w:type="dxa"/>
            <w:tcBorders>
              <w:top w:val="single" w:sz="4" w:space="0" w:color="auto"/>
              <w:left w:val="nil"/>
              <w:bottom w:val="single" w:sz="4" w:space="0" w:color="auto"/>
              <w:right w:val="nil"/>
            </w:tcBorders>
            <w:vAlign w:val="center"/>
            <w:hideMark/>
          </w:tcPr>
          <w:p w14:paraId="49FB248D"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37</w:t>
            </w:r>
          </w:p>
        </w:tc>
        <w:tc>
          <w:tcPr>
            <w:tcW w:w="1418" w:type="dxa"/>
            <w:tcBorders>
              <w:top w:val="single" w:sz="4" w:space="0" w:color="auto"/>
              <w:left w:val="nil"/>
              <w:bottom w:val="single" w:sz="4" w:space="0" w:color="auto"/>
              <w:right w:val="nil"/>
            </w:tcBorders>
            <w:vAlign w:val="center"/>
            <w:hideMark/>
          </w:tcPr>
          <w:p w14:paraId="42B6082B"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37</w:t>
            </w:r>
          </w:p>
        </w:tc>
        <w:tc>
          <w:tcPr>
            <w:tcW w:w="1417" w:type="dxa"/>
            <w:tcBorders>
              <w:top w:val="single" w:sz="4" w:space="0" w:color="auto"/>
              <w:left w:val="nil"/>
              <w:bottom w:val="single" w:sz="4" w:space="0" w:color="auto"/>
              <w:right w:val="nil"/>
            </w:tcBorders>
            <w:vAlign w:val="center"/>
            <w:hideMark/>
          </w:tcPr>
          <w:p w14:paraId="5C643662"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100</w:t>
            </w:r>
          </w:p>
        </w:tc>
        <w:tc>
          <w:tcPr>
            <w:tcW w:w="1843" w:type="dxa"/>
            <w:vMerge w:val="restart"/>
            <w:tcBorders>
              <w:top w:val="single" w:sz="4" w:space="0" w:color="auto"/>
              <w:left w:val="nil"/>
              <w:bottom w:val="nil"/>
              <w:right w:val="single" w:sz="4" w:space="0" w:color="auto"/>
            </w:tcBorders>
            <w:vAlign w:val="center"/>
            <w:hideMark/>
          </w:tcPr>
          <w:p w14:paraId="0B872280" w14:textId="77777777" w:rsidR="00D17FF0" w:rsidRPr="00EC5748" w:rsidRDefault="00D17FF0" w:rsidP="00EC7D82">
            <w:pPr>
              <w:jc w:val="center"/>
              <w:rPr>
                <w:rFonts w:eastAsia="Times New Roman"/>
                <w:color w:val="000000"/>
                <w:lang w:eastAsia="fr-CA"/>
              </w:rPr>
            </w:pPr>
            <w:r w:rsidRPr="00EC5748">
              <w:rPr>
                <w:rFonts w:eastAsia="Times New Roman"/>
                <w:color w:val="000000"/>
                <w:lang w:eastAsia="fr-CA"/>
              </w:rPr>
              <w:t>0</w:t>
            </w:r>
          </w:p>
        </w:tc>
      </w:tr>
      <w:tr w:rsidR="00D17FF0" w:rsidRPr="00EC5748" w14:paraId="3F77F78D" w14:textId="77777777" w:rsidTr="004E323E">
        <w:trPr>
          <w:trHeight w:val="288"/>
        </w:trPr>
        <w:tc>
          <w:tcPr>
            <w:tcW w:w="1985" w:type="dxa"/>
            <w:vMerge/>
            <w:tcBorders>
              <w:top w:val="nil"/>
              <w:left w:val="single" w:sz="4" w:space="0" w:color="auto"/>
              <w:bottom w:val="single" w:sz="4" w:space="0" w:color="auto"/>
              <w:right w:val="nil"/>
            </w:tcBorders>
            <w:vAlign w:val="center"/>
            <w:hideMark/>
          </w:tcPr>
          <w:p w14:paraId="5F38A4D0" w14:textId="77777777" w:rsidR="00D17FF0" w:rsidRPr="00EC5748" w:rsidRDefault="00D17FF0" w:rsidP="00EC5748">
            <w:pPr>
              <w:rPr>
                <w:rFonts w:eastAsia="Times New Roman"/>
                <w:color w:val="000000"/>
                <w:lang w:eastAsia="fr-CA"/>
              </w:rPr>
            </w:pPr>
          </w:p>
        </w:tc>
        <w:tc>
          <w:tcPr>
            <w:tcW w:w="1745" w:type="dxa"/>
            <w:vMerge/>
            <w:tcBorders>
              <w:top w:val="single" w:sz="4" w:space="0" w:color="auto"/>
              <w:left w:val="nil"/>
              <w:bottom w:val="single" w:sz="4" w:space="0" w:color="000000"/>
              <w:right w:val="nil"/>
            </w:tcBorders>
            <w:vAlign w:val="center"/>
            <w:hideMark/>
          </w:tcPr>
          <w:p w14:paraId="1B179B6D" w14:textId="77777777" w:rsidR="00D17FF0" w:rsidRPr="00EC5748" w:rsidRDefault="00D17FF0" w:rsidP="00EC5748">
            <w:pPr>
              <w:rPr>
                <w:rFonts w:eastAsia="Times New Roman"/>
                <w:color w:val="000000"/>
                <w:lang w:eastAsia="fr-CA"/>
              </w:rPr>
            </w:pPr>
          </w:p>
        </w:tc>
        <w:tc>
          <w:tcPr>
            <w:tcW w:w="1530" w:type="dxa"/>
            <w:tcBorders>
              <w:top w:val="nil"/>
              <w:left w:val="nil"/>
              <w:bottom w:val="single" w:sz="4" w:space="0" w:color="auto"/>
              <w:right w:val="nil"/>
            </w:tcBorders>
            <w:vAlign w:val="center"/>
            <w:hideMark/>
          </w:tcPr>
          <w:p w14:paraId="73B27298"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11</w:t>
            </w:r>
          </w:p>
        </w:tc>
        <w:tc>
          <w:tcPr>
            <w:tcW w:w="1119" w:type="dxa"/>
            <w:tcBorders>
              <w:top w:val="nil"/>
              <w:left w:val="nil"/>
              <w:bottom w:val="single" w:sz="4" w:space="0" w:color="auto"/>
              <w:right w:val="nil"/>
            </w:tcBorders>
            <w:vAlign w:val="center"/>
            <w:hideMark/>
          </w:tcPr>
          <w:p w14:paraId="1FE334CC"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37</w:t>
            </w:r>
          </w:p>
        </w:tc>
        <w:tc>
          <w:tcPr>
            <w:tcW w:w="1418" w:type="dxa"/>
            <w:tcBorders>
              <w:top w:val="nil"/>
              <w:left w:val="nil"/>
              <w:bottom w:val="single" w:sz="4" w:space="0" w:color="auto"/>
              <w:right w:val="nil"/>
            </w:tcBorders>
            <w:vAlign w:val="center"/>
            <w:hideMark/>
          </w:tcPr>
          <w:p w14:paraId="6A6D2816"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vAlign w:val="center"/>
            <w:hideMark/>
          </w:tcPr>
          <w:p w14:paraId="78A7B3BF"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843" w:type="dxa"/>
            <w:vMerge/>
            <w:tcBorders>
              <w:top w:val="nil"/>
              <w:left w:val="nil"/>
              <w:bottom w:val="single" w:sz="4" w:space="0" w:color="auto"/>
              <w:right w:val="single" w:sz="4" w:space="0" w:color="auto"/>
            </w:tcBorders>
            <w:vAlign w:val="center"/>
            <w:hideMark/>
          </w:tcPr>
          <w:p w14:paraId="54A7ABD5" w14:textId="77777777" w:rsidR="00D17FF0" w:rsidRPr="00EC5748" w:rsidRDefault="00D17FF0" w:rsidP="00EC7D82">
            <w:pPr>
              <w:jc w:val="center"/>
              <w:rPr>
                <w:rFonts w:eastAsia="Times New Roman"/>
                <w:color w:val="000000"/>
                <w:lang w:eastAsia="fr-CA"/>
              </w:rPr>
            </w:pPr>
          </w:p>
        </w:tc>
      </w:tr>
      <w:tr w:rsidR="00D17FF0" w:rsidRPr="00EC5748" w14:paraId="767E6663" w14:textId="77777777" w:rsidTr="004E323E">
        <w:trPr>
          <w:trHeight w:val="288"/>
        </w:trPr>
        <w:tc>
          <w:tcPr>
            <w:tcW w:w="1985" w:type="dxa"/>
            <w:vMerge/>
            <w:tcBorders>
              <w:top w:val="nil"/>
              <w:left w:val="single" w:sz="4" w:space="0" w:color="auto"/>
              <w:bottom w:val="single" w:sz="4" w:space="0" w:color="auto"/>
              <w:right w:val="nil"/>
            </w:tcBorders>
            <w:vAlign w:val="center"/>
            <w:hideMark/>
          </w:tcPr>
          <w:p w14:paraId="7860A8A5" w14:textId="77777777" w:rsidR="00D17FF0" w:rsidRPr="00EC5748" w:rsidRDefault="00D17FF0" w:rsidP="00EC5748">
            <w:pPr>
              <w:rPr>
                <w:rFonts w:eastAsia="Times New Roman"/>
                <w:color w:val="000000"/>
                <w:lang w:eastAsia="fr-CA"/>
              </w:rPr>
            </w:pPr>
          </w:p>
        </w:tc>
        <w:tc>
          <w:tcPr>
            <w:tcW w:w="1745" w:type="dxa"/>
            <w:vMerge/>
            <w:tcBorders>
              <w:top w:val="single" w:sz="4" w:space="0" w:color="auto"/>
              <w:left w:val="nil"/>
              <w:bottom w:val="single" w:sz="4" w:space="0" w:color="000000"/>
              <w:right w:val="nil"/>
            </w:tcBorders>
            <w:vAlign w:val="center"/>
            <w:hideMark/>
          </w:tcPr>
          <w:p w14:paraId="2F32CCA3" w14:textId="77777777" w:rsidR="00D17FF0" w:rsidRPr="00EC5748" w:rsidRDefault="00D17FF0" w:rsidP="00EC5748">
            <w:pPr>
              <w:rPr>
                <w:rFonts w:eastAsia="Times New Roman"/>
                <w:color w:val="000000"/>
                <w:lang w:eastAsia="fr-CA"/>
              </w:rPr>
            </w:pPr>
          </w:p>
        </w:tc>
        <w:tc>
          <w:tcPr>
            <w:tcW w:w="1530" w:type="dxa"/>
            <w:tcBorders>
              <w:top w:val="nil"/>
              <w:left w:val="nil"/>
              <w:bottom w:val="single" w:sz="4" w:space="0" w:color="auto"/>
              <w:right w:val="nil"/>
            </w:tcBorders>
            <w:vAlign w:val="center"/>
            <w:hideMark/>
          </w:tcPr>
          <w:p w14:paraId="4AE14515"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7 et 11</w:t>
            </w:r>
          </w:p>
        </w:tc>
        <w:tc>
          <w:tcPr>
            <w:tcW w:w="1119" w:type="dxa"/>
            <w:tcBorders>
              <w:top w:val="nil"/>
              <w:left w:val="nil"/>
              <w:bottom w:val="single" w:sz="4" w:space="0" w:color="auto"/>
              <w:right w:val="nil"/>
            </w:tcBorders>
            <w:vAlign w:val="center"/>
            <w:hideMark/>
          </w:tcPr>
          <w:p w14:paraId="3F24157D"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37</w:t>
            </w:r>
          </w:p>
        </w:tc>
        <w:tc>
          <w:tcPr>
            <w:tcW w:w="1418" w:type="dxa"/>
            <w:tcBorders>
              <w:top w:val="nil"/>
              <w:left w:val="nil"/>
              <w:bottom w:val="single" w:sz="4" w:space="0" w:color="auto"/>
              <w:right w:val="nil"/>
            </w:tcBorders>
            <w:vAlign w:val="center"/>
            <w:hideMark/>
          </w:tcPr>
          <w:p w14:paraId="66593499"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vAlign w:val="center"/>
            <w:hideMark/>
          </w:tcPr>
          <w:p w14:paraId="0743C9C5"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843" w:type="dxa"/>
            <w:tcBorders>
              <w:top w:val="single" w:sz="4" w:space="0" w:color="auto"/>
              <w:left w:val="nil"/>
              <w:bottom w:val="single" w:sz="4" w:space="0" w:color="auto"/>
              <w:right w:val="single" w:sz="4" w:space="0" w:color="auto"/>
            </w:tcBorders>
            <w:vAlign w:val="center"/>
            <w:hideMark/>
          </w:tcPr>
          <w:p w14:paraId="4EA04B87" w14:textId="1420B57F" w:rsidR="00D17FF0" w:rsidRPr="00EC5748" w:rsidRDefault="00EC7D82" w:rsidP="00EC7D82">
            <w:pPr>
              <w:jc w:val="center"/>
              <w:rPr>
                <w:rFonts w:eastAsia="Times New Roman"/>
                <w:color w:val="000000"/>
                <w:lang w:eastAsia="fr-CA"/>
              </w:rPr>
            </w:pPr>
            <w:r>
              <w:rPr>
                <w:rFonts w:eastAsia="Times New Roman"/>
                <w:color w:val="000000"/>
                <w:lang w:eastAsia="fr-CA"/>
              </w:rPr>
              <w:t>S.O.</w:t>
            </w:r>
          </w:p>
        </w:tc>
      </w:tr>
      <w:tr w:rsidR="00D17FF0" w:rsidRPr="00EC5748" w14:paraId="0E8CADC7" w14:textId="77777777" w:rsidTr="004E323E">
        <w:trPr>
          <w:trHeight w:val="288"/>
        </w:trPr>
        <w:tc>
          <w:tcPr>
            <w:tcW w:w="1985" w:type="dxa"/>
            <w:vMerge/>
            <w:tcBorders>
              <w:top w:val="nil"/>
              <w:left w:val="single" w:sz="4" w:space="0" w:color="auto"/>
              <w:bottom w:val="single" w:sz="4" w:space="0" w:color="auto"/>
              <w:right w:val="nil"/>
            </w:tcBorders>
            <w:vAlign w:val="center"/>
            <w:hideMark/>
          </w:tcPr>
          <w:p w14:paraId="6A2AD6D4" w14:textId="77777777" w:rsidR="00D17FF0" w:rsidRPr="00EC5748" w:rsidRDefault="00D17FF0" w:rsidP="00EC5748">
            <w:pPr>
              <w:rPr>
                <w:rFonts w:eastAsia="Times New Roman"/>
                <w:color w:val="000000"/>
                <w:lang w:eastAsia="fr-CA"/>
              </w:rPr>
            </w:pPr>
          </w:p>
        </w:tc>
        <w:tc>
          <w:tcPr>
            <w:tcW w:w="1745" w:type="dxa"/>
            <w:vMerge w:val="restart"/>
            <w:tcBorders>
              <w:top w:val="nil"/>
              <w:left w:val="nil"/>
              <w:bottom w:val="single" w:sz="4" w:space="0" w:color="000000"/>
              <w:right w:val="nil"/>
            </w:tcBorders>
            <w:vAlign w:val="center"/>
            <w:hideMark/>
          </w:tcPr>
          <w:p w14:paraId="08806E64"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Estrie</w:t>
            </w:r>
          </w:p>
        </w:tc>
        <w:tc>
          <w:tcPr>
            <w:tcW w:w="1530" w:type="dxa"/>
            <w:tcBorders>
              <w:top w:val="nil"/>
              <w:left w:val="nil"/>
              <w:bottom w:val="single" w:sz="4" w:space="0" w:color="auto"/>
              <w:right w:val="nil"/>
            </w:tcBorders>
            <w:vAlign w:val="center"/>
            <w:hideMark/>
          </w:tcPr>
          <w:p w14:paraId="4217B0F8"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7</w:t>
            </w:r>
          </w:p>
        </w:tc>
        <w:tc>
          <w:tcPr>
            <w:tcW w:w="1119" w:type="dxa"/>
            <w:tcBorders>
              <w:top w:val="nil"/>
              <w:left w:val="nil"/>
              <w:bottom w:val="single" w:sz="4" w:space="0" w:color="auto"/>
              <w:right w:val="nil"/>
            </w:tcBorders>
            <w:vAlign w:val="center"/>
            <w:hideMark/>
          </w:tcPr>
          <w:p w14:paraId="21ECEE3E"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6</w:t>
            </w:r>
          </w:p>
        </w:tc>
        <w:tc>
          <w:tcPr>
            <w:tcW w:w="1418" w:type="dxa"/>
            <w:tcBorders>
              <w:top w:val="nil"/>
              <w:left w:val="nil"/>
              <w:bottom w:val="single" w:sz="4" w:space="0" w:color="auto"/>
              <w:right w:val="nil"/>
            </w:tcBorders>
            <w:vAlign w:val="center"/>
            <w:hideMark/>
          </w:tcPr>
          <w:p w14:paraId="197C7354"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6</w:t>
            </w:r>
          </w:p>
        </w:tc>
        <w:tc>
          <w:tcPr>
            <w:tcW w:w="1417" w:type="dxa"/>
            <w:tcBorders>
              <w:top w:val="nil"/>
              <w:left w:val="nil"/>
              <w:bottom w:val="single" w:sz="4" w:space="0" w:color="auto"/>
              <w:right w:val="nil"/>
            </w:tcBorders>
            <w:vAlign w:val="center"/>
            <w:hideMark/>
          </w:tcPr>
          <w:p w14:paraId="566116D6"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100</w:t>
            </w:r>
          </w:p>
        </w:tc>
        <w:tc>
          <w:tcPr>
            <w:tcW w:w="1843" w:type="dxa"/>
            <w:vMerge w:val="restart"/>
            <w:tcBorders>
              <w:top w:val="single" w:sz="4" w:space="0" w:color="auto"/>
              <w:left w:val="nil"/>
              <w:bottom w:val="nil"/>
              <w:right w:val="single" w:sz="4" w:space="0" w:color="auto"/>
            </w:tcBorders>
            <w:vAlign w:val="center"/>
            <w:hideMark/>
          </w:tcPr>
          <w:p w14:paraId="65B5E7DB" w14:textId="77777777" w:rsidR="00D17FF0" w:rsidRPr="00EC5748" w:rsidRDefault="00D17FF0" w:rsidP="00EC7D82">
            <w:pPr>
              <w:jc w:val="center"/>
              <w:rPr>
                <w:rFonts w:eastAsia="Times New Roman"/>
                <w:color w:val="000000"/>
                <w:lang w:eastAsia="fr-CA"/>
              </w:rPr>
            </w:pPr>
            <w:r w:rsidRPr="00EC5748">
              <w:rPr>
                <w:rFonts w:eastAsia="Times New Roman"/>
                <w:color w:val="000000"/>
                <w:lang w:eastAsia="fr-CA"/>
              </w:rPr>
              <w:t>0</w:t>
            </w:r>
          </w:p>
        </w:tc>
      </w:tr>
      <w:tr w:rsidR="00D17FF0" w:rsidRPr="00EC5748" w14:paraId="080C5B5F" w14:textId="77777777" w:rsidTr="004E323E">
        <w:trPr>
          <w:trHeight w:val="288"/>
        </w:trPr>
        <w:tc>
          <w:tcPr>
            <w:tcW w:w="1985" w:type="dxa"/>
            <w:vMerge/>
            <w:tcBorders>
              <w:top w:val="nil"/>
              <w:left w:val="single" w:sz="4" w:space="0" w:color="auto"/>
              <w:bottom w:val="single" w:sz="4" w:space="0" w:color="auto"/>
              <w:right w:val="nil"/>
            </w:tcBorders>
            <w:vAlign w:val="center"/>
            <w:hideMark/>
          </w:tcPr>
          <w:p w14:paraId="45F37060" w14:textId="77777777" w:rsidR="00D17FF0" w:rsidRPr="00EC5748" w:rsidRDefault="00D17FF0" w:rsidP="00EC5748">
            <w:pPr>
              <w:rPr>
                <w:rFonts w:eastAsia="Times New Roman"/>
                <w:color w:val="000000"/>
                <w:lang w:eastAsia="fr-CA"/>
              </w:rPr>
            </w:pPr>
          </w:p>
        </w:tc>
        <w:tc>
          <w:tcPr>
            <w:tcW w:w="1745" w:type="dxa"/>
            <w:vMerge/>
            <w:tcBorders>
              <w:top w:val="nil"/>
              <w:left w:val="nil"/>
              <w:bottom w:val="single" w:sz="4" w:space="0" w:color="000000"/>
              <w:right w:val="nil"/>
            </w:tcBorders>
            <w:vAlign w:val="center"/>
            <w:hideMark/>
          </w:tcPr>
          <w:p w14:paraId="272AFED9" w14:textId="77777777" w:rsidR="00D17FF0" w:rsidRPr="00EC5748" w:rsidRDefault="00D17FF0" w:rsidP="00EC5748">
            <w:pPr>
              <w:rPr>
                <w:rFonts w:eastAsia="Times New Roman"/>
                <w:color w:val="000000"/>
                <w:lang w:eastAsia="fr-CA"/>
              </w:rPr>
            </w:pPr>
          </w:p>
        </w:tc>
        <w:tc>
          <w:tcPr>
            <w:tcW w:w="1530" w:type="dxa"/>
            <w:tcBorders>
              <w:top w:val="nil"/>
              <w:left w:val="nil"/>
              <w:bottom w:val="single" w:sz="4" w:space="0" w:color="auto"/>
              <w:right w:val="nil"/>
            </w:tcBorders>
            <w:vAlign w:val="center"/>
            <w:hideMark/>
          </w:tcPr>
          <w:p w14:paraId="377F9ADB"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11</w:t>
            </w:r>
          </w:p>
        </w:tc>
        <w:tc>
          <w:tcPr>
            <w:tcW w:w="1119" w:type="dxa"/>
            <w:tcBorders>
              <w:top w:val="nil"/>
              <w:left w:val="nil"/>
              <w:bottom w:val="single" w:sz="4" w:space="0" w:color="auto"/>
              <w:right w:val="nil"/>
            </w:tcBorders>
            <w:vAlign w:val="center"/>
            <w:hideMark/>
          </w:tcPr>
          <w:p w14:paraId="35649D19"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6</w:t>
            </w:r>
          </w:p>
        </w:tc>
        <w:tc>
          <w:tcPr>
            <w:tcW w:w="1418" w:type="dxa"/>
            <w:tcBorders>
              <w:top w:val="nil"/>
              <w:left w:val="nil"/>
              <w:bottom w:val="single" w:sz="4" w:space="0" w:color="auto"/>
              <w:right w:val="nil"/>
            </w:tcBorders>
            <w:vAlign w:val="center"/>
            <w:hideMark/>
          </w:tcPr>
          <w:p w14:paraId="6FEBA43E"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vAlign w:val="center"/>
            <w:hideMark/>
          </w:tcPr>
          <w:p w14:paraId="3E08C866"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843" w:type="dxa"/>
            <w:vMerge/>
            <w:tcBorders>
              <w:top w:val="nil"/>
              <w:left w:val="nil"/>
              <w:bottom w:val="single" w:sz="4" w:space="0" w:color="auto"/>
              <w:right w:val="single" w:sz="4" w:space="0" w:color="auto"/>
            </w:tcBorders>
            <w:vAlign w:val="center"/>
            <w:hideMark/>
          </w:tcPr>
          <w:p w14:paraId="71FCBDDA" w14:textId="77777777" w:rsidR="00D17FF0" w:rsidRPr="00EC5748" w:rsidRDefault="00D17FF0" w:rsidP="00EC7D82">
            <w:pPr>
              <w:jc w:val="center"/>
              <w:rPr>
                <w:rFonts w:eastAsia="Times New Roman"/>
                <w:color w:val="000000"/>
                <w:lang w:eastAsia="fr-CA"/>
              </w:rPr>
            </w:pPr>
          </w:p>
        </w:tc>
      </w:tr>
      <w:tr w:rsidR="00D17FF0" w:rsidRPr="00EC5748" w14:paraId="703D2382" w14:textId="77777777" w:rsidTr="004E323E">
        <w:trPr>
          <w:trHeight w:val="288"/>
        </w:trPr>
        <w:tc>
          <w:tcPr>
            <w:tcW w:w="1985" w:type="dxa"/>
            <w:vMerge/>
            <w:tcBorders>
              <w:top w:val="nil"/>
              <w:left w:val="single" w:sz="4" w:space="0" w:color="auto"/>
              <w:bottom w:val="single" w:sz="4" w:space="0" w:color="auto"/>
              <w:right w:val="nil"/>
            </w:tcBorders>
            <w:vAlign w:val="center"/>
            <w:hideMark/>
          </w:tcPr>
          <w:p w14:paraId="5D19F2B3" w14:textId="77777777" w:rsidR="00D17FF0" w:rsidRPr="00EC5748" w:rsidRDefault="00D17FF0" w:rsidP="00EC5748">
            <w:pPr>
              <w:rPr>
                <w:rFonts w:eastAsia="Times New Roman"/>
                <w:color w:val="000000"/>
                <w:lang w:eastAsia="fr-CA"/>
              </w:rPr>
            </w:pPr>
          </w:p>
        </w:tc>
        <w:tc>
          <w:tcPr>
            <w:tcW w:w="1745" w:type="dxa"/>
            <w:vMerge/>
            <w:tcBorders>
              <w:top w:val="nil"/>
              <w:left w:val="nil"/>
              <w:bottom w:val="single" w:sz="4" w:space="0" w:color="000000"/>
              <w:right w:val="nil"/>
            </w:tcBorders>
            <w:vAlign w:val="center"/>
            <w:hideMark/>
          </w:tcPr>
          <w:p w14:paraId="478096CB" w14:textId="77777777" w:rsidR="00D17FF0" w:rsidRPr="00EC5748" w:rsidRDefault="00D17FF0" w:rsidP="00EC5748">
            <w:pPr>
              <w:rPr>
                <w:rFonts w:eastAsia="Times New Roman"/>
                <w:color w:val="000000"/>
                <w:lang w:eastAsia="fr-CA"/>
              </w:rPr>
            </w:pPr>
          </w:p>
        </w:tc>
        <w:tc>
          <w:tcPr>
            <w:tcW w:w="1530" w:type="dxa"/>
            <w:tcBorders>
              <w:top w:val="nil"/>
              <w:left w:val="nil"/>
              <w:bottom w:val="single" w:sz="4" w:space="0" w:color="auto"/>
              <w:right w:val="nil"/>
            </w:tcBorders>
            <w:vAlign w:val="center"/>
            <w:hideMark/>
          </w:tcPr>
          <w:p w14:paraId="2B25B474"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7 et 11</w:t>
            </w:r>
          </w:p>
        </w:tc>
        <w:tc>
          <w:tcPr>
            <w:tcW w:w="1119" w:type="dxa"/>
            <w:tcBorders>
              <w:top w:val="nil"/>
              <w:left w:val="nil"/>
              <w:bottom w:val="single" w:sz="4" w:space="0" w:color="auto"/>
              <w:right w:val="nil"/>
            </w:tcBorders>
            <w:vAlign w:val="center"/>
            <w:hideMark/>
          </w:tcPr>
          <w:p w14:paraId="60887D49"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6</w:t>
            </w:r>
          </w:p>
        </w:tc>
        <w:tc>
          <w:tcPr>
            <w:tcW w:w="1418" w:type="dxa"/>
            <w:tcBorders>
              <w:top w:val="nil"/>
              <w:left w:val="nil"/>
              <w:bottom w:val="single" w:sz="4" w:space="0" w:color="auto"/>
              <w:right w:val="nil"/>
            </w:tcBorders>
            <w:vAlign w:val="center"/>
            <w:hideMark/>
          </w:tcPr>
          <w:p w14:paraId="6F3B4DBB"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vAlign w:val="center"/>
            <w:hideMark/>
          </w:tcPr>
          <w:p w14:paraId="5121F492"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843" w:type="dxa"/>
            <w:tcBorders>
              <w:top w:val="single" w:sz="4" w:space="0" w:color="auto"/>
              <w:left w:val="nil"/>
              <w:bottom w:val="single" w:sz="4" w:space="0" w:color="auto"/>
              <w:right w:val="single" w:sz="4" w:space="0" w:color="auto"/>
            </w:tcBorders>
            <w:vAlign w:val="center"/>
            <w:hideMark/>
          </w:tcPr>
          <w:p w14:paraId="1EB065C6" w14:textId="29405290" w:rsidR="00D17FF0" w:rsidRPr="00EC5748" w:rsidRDefault="00EC7D82" w:rsidP="00EC7D82">
            <w:pPr>
              <w:jc w:val="center"/>
              <w:rPr>
                <w:rFonts w:eastAsia="Times New Roman"/>
                <w:color w:val="000000"/>
                <w:lang w:eastAsia="fr-CA"/>
              </w:rPr>
            </w:pPr>
            <w:r>
              <w:rPr>
                <w:rFonts w:eastAsia="Times New Roman"/>
                <w:color w:val="000000"/>
                <w:lang w:eastAsia="fr-CA"/>
              </w:rPr>
              <w:t>S.O.</w:t>
            </w:r>
          </w:p>
        </w:tc>
      </w:tr>
      <w:tr w:rsidR="00D17FF0" w:rsidRPr="00EC5748" w14:paraId="5E75BF56" w14:textId="77777777" w:rsidTr="004E323E">
        <w:trPr>
          <w:trHeight w:val="288"/>
        </w:trPr>
        <w:tc>
          <w:tcPr>
            <w:tcW w:w="1985" w:type="dxa"/>
            <w:vMerge/>
            <w:tcBorders>
              <w:top w:val="nil"/>
              <w:left w:val="single" w:sz="4" w:space="0" w:color="auto"/>
              <w:bottom w:val="single" w:sz="4" w:space="0" w:color="auto"/>
              <w:right w:val="nil"/>
            </w:tcBorders>
            <w:vAlign w:val="center"/>
            <w:hideMark/>
          </w:tcPr>
          <w:p w14:paraId="74883679" w14:textId="77777777" w:rsidR="00D17FF0" w:rsidRPr="00EC5748" w:rsidRDefault="00D17FF0" w:rsidP="00EC5748">
            <w:pPr>
              <w:rPr>
                <w:rFonts w:eastAsia="Times New Roman"/>
                <w:color w:val="000000"/>
                <w:lang w:eastAsia="fr-CA"/>
              </w:rPr>
            </w:pPr>
          </w:p>
        </w:tc>
        <w:tc>
          <w:tcPr>
            <w:tcW w:w="1745" w:type="dxa"/>
            <w:vMerge w:val="restart"/>
            <w:tcBorders>
              <w:top w:val="nil"/>
              <w:left w:val="nil"/>
              <w:bottom w:val="single" w:sz="4" w:space="0" w:color="000000"/>
              <w:right w:val="nil"/>
            </w:tcBorders>
            <w:vAlign w:val="center"/>
            <w:hideMark/>
          </w:tcPr>
          <w:p w14:paraId="289EB0BA" w14:textId="17F06B38" w:rsidR="00D17FF0" w:rsidRPr="00EC5748" w:rsidRDefault="00D17FF0" w:rsidP="00EC5748">
            <w:pPr>
              <w:jc w:val="center"/>
              <w:rPr>
                <w:rFonts w:eastAsia="Times New Roman"/>
                <w:color w:val="000000"/>
                <w:lang w:eastAsia="fr-CA"/>
              </w:rPr>
            </w:pPr>
            <w:r w:rsidRPr="00EC5748">
              <w:rPr>
                <w:rFonts w:eastAsia="Times New Roman"/>
                <w:color w:val="000000"/>
                <w:lang w:eastAsia="fr-CA"/>
              </w:rPr>
              <w:t>Centre</w:t>
            </w:r>
            <w:r w:rsidR="00EC7D82">
              <w:rPr>
                <w:rFonts w:eastAsia="Times New Roman"/>
                <w:color w:val="000000"/>
                <w:lang w:eastAsia="fr-CA"/>
              </w:rPr>
              <w:t>-</w:t>
            </w:r>
            <w:r w:rsidRPr="00EC5748">
              <w:rPr>
                <w:rFonts w:eastAsia="Times New Roman"/>
                <w:color w:val="000000"/>
                <w:lang w:eastAsia="fr-CA"/>
              </w:rPr>
              <w:t>du</w:t>
            </w:r>
            <w:r w:rsidR="00EC7D82">
              <w:rPr>
                <w:rFonts w:eastAsia="Times New Roman"/>
                <w:color w:val="000000"/>
                <w:lang w:eastAsia="fr-CA"/>
              </w:rPr>
              <w:t>-</w:t>
            </w:r>
            <w:r w:rsidRPr="00EC5748">
              <w:rPr>
                <w:rFonts w:eastAsia="Times New Roman"/>
                <w:color w:val="000000"/>
                <w:lang w:eastAsia="fr-CA"/>
              </w:rPr>
              <w:t>Québec</w:t>
            </w:r>
          </w:p>
        </w:tc>
        <w:tc>
          <w:tcPr>
            <w:tcW w:w="1530" w:type="dxa"/>
            <w:tcBorders>
              <w:top w:val="nil"/>
              <w:left w:val="nil"/>
              <w:bottom w:val="single" w:sz="4" w:space="0" w:color="auto"/>
              <w:right w:val="nil"/>
            </w:tcBorders>
            <w:vAlign w:val="center"/>
            <w:hideMark/>
          </w:tcPr>
          <w:p w14:paraId="6AEE9148"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7</w:t>
            </w:r>
          </w:p>
        </w:tc>
        <w:tc>
          <w:tcPr>
            <w:tcW w:w="1119" w:type="dxa"/>
            <w:tcBorders>
              <w:top w:val="nil"/>
              <w:left w:val="nil"/>
              <w:bottom w:val="single" w:sz="4" w:space="0" w:color="auto"/>
              <w:right w:val="nil"/>
            </w:tcBorders>
            <w:vAlign w:val="center"/>
            <w:hideMark/>
          </w:tcPr>
          <w:p w14:paraId="5D485C75"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17</w:t>
            </w:r>
          </w:p>
        </w:tc>
        <w:tc>
          <w:tcPr>
            <w:tcW w:w="1418" w:type="dxa"/>
            <w:tcBorders>
              <w:top w:val="nil"/>
              <w:left w:val="nil"/>
              <w:bottom w:val="single" w:sz="4" w:space="0" w:color="auto"/>
              <w:right w:val="nil"/>
            </w:tcBorders>
            <w:vAlign w:val="center"/>
            <w:hideMark/>
          </w:tcPr>
          <w:p w14:paraId="3C0FE486"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17</w:t>
            </w:r>
          </w:p>
        </w:tc>
        <w:tc>
          <w:tcPr>
            <w:tcW w:w="1417" w:type="dxa"/>
            <w:tcBorders>
              <w:top w:val="nil"/>
              <w:left w:val="nil"/>
              <w:bottom w:val="single" w:sz="4" w:space="0" w:color="auto"/>
              <w:right w:val="nil"/>
            </w:tcBorders>
            <w:vAlign w:val="center"/>
            <w:hideMark/>
          </w:tcPr>
          <w:p w14:paraId="48BEB15C"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100</w:t>
            </w:r>
          </w:p>
        </w:tc>
        <w:tc>
          <w:tcPr>
            <w:tcW w:w="1843" w:type="dxa"/>
            <w:vMerge w:val="restart"/>
            <w:tcBorders>
              <w:top w:val="single" w:sz="4" w:space="0" w:color="auto"/>
              <w:left w:val="nil"/>
              <w:bottom w:val="nil"/>
              <w:right w:val="single" w:sz="4" w:space="0" w:color="auto"/>
            </w:tcBorders>
            <w:vAlign w:val="center"/>
            <w:hideMark/>
          </w:tcPr>
          <w:p w14:paraId="56A6F79A" w14:textId="77777777" w:rsidR="00D17FF0" w:rsidRPr="00EC5748" w:rsidRDefault="00D17FF0" w:rsidP="00EC7D82">
            <w:pPr>
              <w:jc w:val="center"/>
              <w:rPr>
                <w:rFonts w:eastAsia="Times New Roman"/>
                <w:color w:val="000000"/>
                <w:lang w:eastAsia="fr-CA"/>
              </w:rPr>
            </w:pPr>
            <w:r w:rsidRPr="00EC5748">
              <w:rPr>
                <w:rFonts w:eastAsia="Times New Roman"/>
                <w:color w:val="000000"/>
                <w:lang w:eastAsia="fr-CA"/>
              </w:rPr>
              <w:t>0</w:t>
            </w:r>
          </w:p>
        </w:tc>
      </w:tr>
      <w:tr w:rsidR="00D17FF0" w:rsidRPr="00EC5748" w14:paraId="468EB3FB" w14:textId="77777777" w:rsidTr="004E323E">
        <w:trPr>
          <w:trHeight w:val="288"/>
        </w:trPr>
        <w:tc>
          <w:tcPr>
            <w:tcW w:w="1985" w:type="dxa"/>
            <w:vMerge/>
            <w:tcBorders>
              <w:top w:val="nil"/>
              <w:left w:val="single" w:sz="4" w:space="0" w:color="auto"/>
              <w:bottom w:val="single" w:sz="4" w:space="0" w:color="auto"/>
              <w:right w:val="nil"/>
            </w:tcBorders>
            <w:vAlign w:val="center"/>
            <w:hideMark/>
          </w:tcPr>
          <w:p w14:paraId="663A31C3" w14:textId="77777777" w:rsidR="00D17FF0" w:rsidRPr="00EC5748" w:rsidRDefault="00D17FF0" w:rsidP="00EC5748">
            <w:pPr>
              <w:rPr>
                <w:rFonts w:eastAsia="Times New Roman"/>
                <w:color w:val="000000"/>
                <w:lang w:eastAsia="fr-CA"/>
              </w:rPr>
            </w:pPr>
          </w:p>
        </w:tc>
        <w:tc>
          <w:tcPr>
            <w:tcW w:w="1745" w:type="dxa"/>
            <w:vMerge/>
            <w:tcBorders>
              <w:top w:val="nil"/>
              <w:left w:val="nil"/>
              <w:bottom w:val="single" w:sz="4" w:space="0" w:color="000000"/>
              <w:right w:val="nil"/>
            </w:tcBorders>
            <w:vAlign w:val="center"/>
            <w:hideMark/>
          </w:tcPr>
          <w:p w14:paraId="6193F8C7" w14:textId="77777777" w:rsidR="00D17FF0" w:rsidRPr="00EC5748" w:rsidRDefault="00D17FF0" w:rsidP="00EC5748">
            <w:pPr>
              <w:rPr>
                <w:rFonts w:eastAsia="Times New Roman"/>
                <w:color w:val="000000"/>
                <w:lang w:eastAsia="fr-CA"/>
              </w:rPr>
            </w:pPr>
          </w:p>
        </w:tc>
        <w:tc>
          <w:tcPr>
            <w:tcW w:w="1530" w:type="dxa"/>
            <w:tcBorders>
              <w:top w:val="nil"/>
              <w:left w:val="nil"/>
              <w:bottom w:val="single" w:sz="4" w:space="0" w:color="auto"/>
              <w:right w:val="nil"/>
            </w:tcBorders>
            <w:vAlign w:val="center"/>
            <w:hideMark/>
          </w:tcPr>
          <w:p w14:paraId="04BBDC90"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11</w:t>
            </w:r>
          </w:p>
        </w:tc>
        <w:tc>
          <w:tcPr>
            <w:tcW w:w="1119" w:type="dxa"/>
            <w:tcBorders>
              <w:top w:val="nil"/>
              <w:left w:val="nil"/>
              <w:bottom w:val="single" w:sz="4" w:space="0" w:color="auto"/>
              <w:right w:val="nil"/>
            </w:tcBorders>
            <w:vAlign w:val="center"/>
            <w:hideMark/>
          </w:tcPr>
          <w:p w14:paraId="360933DD"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17</w:t>
            </w:r>
          </w:p>
        </w:tc>
        <w:tc>
          <w:tcPr>
            <w:tcW w:w="1418" w:type="dxa"/>
            <w:tcBorders>
              <w:top w:val="nil"/>
              <w:left w:val="nil"/>
              <w:bottom w:val="single" w:sz="4" w:space="0" w:color="auto"/>
              <w:right w:val="nil"/>
            </w:tcBorders>
            <w:vAlign w:val="center"/>
            <w:hideMark/>
          </w:tcPr>
          <w:p w14:paraId="1A177DEE"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vAlign w:val="center"/>
            <w:hideMark/>
          </w:tcPr>
          <w:p w14:paraId="1246C25F"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843" w:type="dxa"/>
            <w:vMerge/>
            <w:tcBorders>
              <w:top w:val="nil"/>
              <w:left w:val="nil"/>
              <w:bottom w:val="single" w:sz="4" w:space="0" w:color="auto"/>
              <w:right w:val="single" w:sz="4" w:space="0" w:color="auto"/>
            </w:tcBorders>
            <w:vAlign w:val="center"/>
            <w:hideMark/>
          </w:tcPr>
          <w:p w14:paraId="3F9B5EC0" w14:textId="77777777" w:rsidR="00D17FF0" w:rsidRPr="00EC5748" w:rsidRDefault="00D17FF0" w:rsidP="00EC7D82">
            <w:pPr>
              <w:jc w:val="center"/>
              <w:rPr>
                <w:rFonts w:eastAsia="Times New Roman"/>
                <w:color w:val="000000"/>
                <w:lang w:eastAsia="fr-CA"/>
              </w:rPr>
            </w:pPr>
          </w:p>
        </w:tc>
      </w:tr>
      <w:tr w:rsidR="00D17FF0" w:rsidRPr="00EC5748" w14:paraId="729103B6" w14:textId="77777777" w:rsidTr="004E323E">
        <w:trPr>
          <w:trHeight w:val="288"/>
        </w:trPr>
        <w:tc>
          <w:tcPr>
            <w:tcW w:w="1985" w:type="dxa"/>
            <w:vMerge/>
            <w:tcBorders>
              <w:top w:val="nil"/>
              <w:left w:val="single" w:sz="4" w:space="0" w:color="auto"/>
              <w:bottom w:val="single" w:sz="4" w:space="0" w:color="auto"/>
              <w:right w:val="nil"/>
            </w:tcBorders>
            <w:vAlign w:val="center"/>
            <w:hideMark/>
          </w:tcPr>
          <w:p w14:paraId="6B9B81EB" w14:textId="77777777" w:rsidR="00D17FF0" w:rsidRPr="00EC5748" w:rsidRDefault="00D17FF0" w:rsidP="00EC5748">
            <w:pPr>
              <w:rPr>
                <w:rFonts w:eastAsia="Times New Roman"/>
                <w:color w:val="000000"/>
                <w:lang w:eastAsia="fr-CA"/>
              </w:rPr>
            </w:pPr>
          </w:p>
        </w:tc>
        <w:tc>
          <w:tcPr>
            <w:tcW w:w="1745" w:type="dxa"/>
            <w:vMerge/>
            <w:tcBorders>
              <w:top w:val="nil"/>
              <w:left w:val="nil"/>
              <w:bottom w:val="single" w:sz="4" w:space="0" w:color="auto"/>
              <w:right w:val="nil"/>
            </w:tcBorders>
            <w:vAlign w:val="center"/>
            <w:hideMark/>
          </w:tcPr>
          <w:p w14:paraId="47D3F720" w14:textId="77777777" w:rsidR="00D17FF0" w:rsidRPr="00EC5748" w:rsidRDefault="00D17FF0" w:rsidP="00EC5748">
            <w:pPr>
              <w:rPr>
                <w:rFonts w:eastAsia="Times New Roman"/>
                <w:color w:val="000000"/>
                <w:lang w:eastAsia="fr-CA"/>
              </w:rPr>
            </w:pPr>
          </w:p>
        </w:tc>
        <w:tc>
          <w:tcPr>
            <w:tcW w:w="1530" w:type="dxa"/>
            <w:tcBorders>
              <w:top w:val="nil"/>
              <w:left w:val="nil"/>
              <w:bottom w:val="single" w:sz="4" w:space="0" w:color="auto"/>
              <w:right w:val="nil"/>
            </w:tcBorders>
            <w:vAlign w:val="center"/>
            <w:hideMark/>
          </w:tcPr>
          <w:p w14:paraId="29BC700D"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7 et 11</w:t>
            </w:r>
          </w:p>
        </w:tc>
        <w:tc>
          <w:tcPr>
            <w:tcW w:w="1119" w:type="dxa"/>
            <w:tcBorders>
              <w:top w:val="nil"/>
              <w:left w:val="nil"/>
              <w:bottom w:val="single" w:sz="4" w:space="0" w:color="auto"/>
              <w:right w:val="nil"/>
            </w:tcBorders>
            <w:noWrap/>
            <w:vAlign w:val="bottom"/>
            <w:hideMark/>
          </w:tcPr>
          <w:p w14:paraId="3D236C01"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17</w:t>
            </w:r>
          </w:p>
        </w:tc>
        <w:tc>
          <w:tcPr>
            <w:tcW w:w="1418" w:type="dxa"/>
            <w:tcBorders>
              <w:top w:val="nil"/>
              <w:left w:val="nil"/>
              <w:bottom w:val="single" w:sz="4" w:space="0" w:color="auto"/>
              <w:right w:val="nil"/>
            </w:tcBorders>
            <w:noWrap/>
            <w:vAlign w:val="bottom"/>
            <w:hideMark/>
          </w:tcPr>
          <w:p w14:paraId="12F32E92"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417" w:type="dxa"/>
            <w:tcBorders>
              <w:top w:val="nil"/>
              <w:left w:val="nil"/>
              <w:bottom w:val="single" w:sz="4" w:space="0" w:color="auto"/>
              <w:right w:val="nil"/>
            </w:tcBorders>
            <w:noWrap/>
            <w:vAlign w:val="bottom"/>
            <w:hideMark/>
          </w:tcPr>
          <w:p w14:paraId="164E401A" w14:textId="77777777" w:rsidR="00D17FF0" w:rsidRPr="00EC5748" w:rsidRDefault="00D17FF0" w:rsidP="00EC5748">
            <w:pPr>
              <w:jc w:val="center"/>
              <w:rPr>
                <w:rFonts w:eastAsia="Times New Roman"/>
                <w:color w:val="000000"/>
                <w:lang w:eastAsia="fr-CA"/>
              </w:rPr>
            </w:pPr>
            <w:r w:rsidRPr="00EC5748">
              <w:rPr>
                <w:rFonts w:eastAsia="Times New Roman"/>
                <w:color w:val="000000"/>
                <w:lang w:eastAsia="fr-CA"/>
              </w:rPr>
              <w:t>0</w:t>
            </w:r>
          </w:p>
        </w:tc>
        <w:tc>
          <w:tcPr>
            <w:tcW w:w="1843" w:type="dxa"/>
            <w:tcBorders>
              <w:top w:val="single" w:sz="4" w:space="0" w:color="auto"/>
              <w:left w:val="nil"/>
              <w:bottom w:val="single" w:sz="4" w:space="0" w:color="auto"/>
              <w:right w:val="single" w:sz="4" w:space="0" w:color="auto"/>
            </w:tcBorders>
            <w:vAlign w:val="center"/>
            <w:hideMark/>
          </w:tcPr>
          <w:p w14:paraId="52FDED9A" w14:textId="70E6EFC3" w:rsidR="00D17FF0" w:rsidRPr="00EC5748" w:rsidRDefault="00EC7D82" w:rsidP="00EC7D82">
            <w:pPr>
              <w:jc w:val="center"/>
              <w:rPr>
                <w:rFonts w:eastAsia="Times New Roman"/>
                <w:color w:val="000000"/>
                <w:lang w:eastAsia="fr-CA"/>
              </w:rPr>
            </w:pPr>
            <w:r>
              <w:rPr>
                <w:rFonts w:eastAsia="Times New Roman"/>
                <w:color w:val="000000"/>
                <w:lang w:eastAsia="fr-CA"/>
              </w:rPr>
              <w:t>S.O.</w:t>
            </w:r>
          </w:p>
        </w:tc>
      </w:tr>
    </w:tbl>
    <w:p w14:paraId="404843FE" w14:textId="77777777" w:rsidR="00D17FF0" w:rsidRPr="00EC5748" w:rsidRDefault="00D17FF0" w:rsidP="00D17FF0">
      <w:r w:rsidRPr="00EC5748">
        <w:rPr>
          <w:sz w:val="20"/>
          <w:szCs w:val="20"/>
        </w:rPr>
        <w:t xml:space="preserve">Dans le cadre de </w:t>
      </w:r>
      <w:proofErr w:type="spellStart"/>
      <w:r w:rsidRPr="00EC5748">
        <w:rPr>
          <w:i/>
          <w:iCs/>
          <w:sz w:val="20"/>
          <w:szCs w:val="20"/>
        </w:rPr>
        <w:t>Colletotrichum</w:t>
      </w:r>
      <w:proofErr w:type="spellEnd"/>
      <w:r w:rsidRPr="00EC5748">
        <w:rPr>
          <w:i/>
          <w:iCs/>
          <w:sz w:val="20"/>
          <w:szCs w:val="20"/>
        </w:rPr>
        <w:t xml:space="preserve"> </w:t>
      </w:r>
      <w:proofErr w:type="spellStart"/>
      <w:r w:rsidRPr="00EC5748">
        <w:rPr>
          <w:sz w:val="20"/>
          <w:szCs w:val="20"/>
        </w:rPr>
        <w:t>spp</w:t>
      </w:r>
      <w:proofErr w:type="spellEnd"/>
      <w:r w:rsidRPr="00EC5748">
        <w:rPr>
          <w:sz w:val="20"/>
          <w:szCs w:val="20"/>
        </w:rPr>
        <w:t xml:space="preserve">. </w:t>
      </w:r>
      <w:proofErr w:type="gramStart"/>
      <w:r w:rsidRPr="00EC5748">
        <w:rPr>
          <w:sz w:val="20"/>
          <w:szCs w:val="20"/>
        </w:rPr>
        <w:t>seul</w:t>
      </w:r>
      <w:proofErr w:type="gramEnd"/>
      <w:r w:rsidRPr="00EC5748">
        <w:rPr>
          <w:sz w:val="20"/>
          <w:szCs w:val="20"/>
        </w:rPr>
        <w:t xml:space="preserve"> le pourcentage des souches résistantes aux fongicides du groupe 11 est rapporté. Ce champignon est insensible aux fongicides du groupe 7.</w:t>
      </w:r>
    </w:p>
    <w:p w14:paraId="479671BA" w14:textId="77777777" w:rsidR="009E7EC3" w:rsidRPr="00E360FB" w:rsidRDefault="009E7EC3" w:rsidP="00E360FB">
      <w:pPr>
        <w:tabs>
          <w:tab w:val="left" w:pos="3225"/>
        </w:tabs>
      </w:pPr>
    </w:p>
    <w:sectPr w:rsidR="009E7EC3" w:rsidRPr="00E360FB" w:rsidSect="00D55835">
      <w:headerReference w:type="first" r:id="rId17"/>
      <w:footerReference w:type="first" r:id="rId18"/>
      <w:pgSz w:w="12240" w:h="15840"/>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97C7B" w14:textId="77777777" w:rsidR="00B54C9A" w:rsidRDefault="00B54C9A" w:rsidP="00C645BC">
      <w:r>
        <w:separator/>
      </w:r>
    </w:p>
  </w:endnote>
  <w:endnote w:type="continuationSeparator" w:id="0">
    <w:p w14:paraId="6AE86C5D" w14:textId="77777777" w:rsidR="00B54C9A" w:rsidRDefault="00B54C9A" w:rsidP="00C6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75CD" w14:textId="3AE00E6C" w:rsidR="009E7EC3" w:rsidRPr="00394011" w:rsidRDefault="00785797" w:rsidP="009E7EC3">
    <w:pPr>
      <w:pStyle w:val="Pieddepage"/>
      <w:tabs>
        <w:tab w:val="clear" w:pos="4320"/>
        <w:tab w:val="clear" w:pos="8640"/>
        <w:tab w:val="right" w:pos="10490"/>
      </w:tabs>
      <w:spacing w:before="120"/>
    </w:pPr>
    <w:r w:rsidRPr="0039401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62A1" w14:textId="77777777" w:rsidR="009E7EC3" w:rsidRDefault="009E7EC3" w:rsidP="005B5C0F">
    <w:pPr>
      <w:pStyle w:val="Pieddepage"/>
      <w:tabs>
        <w:tab w:val="clear" w:pos="4320"/>
        <w:tab w:val="clear" w:pos="8640"/>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6DAD" w14:textId="07A46CDF" w:rsidR="009E7EC3" w:rsidRDefault="009E7EC3" w:rsidP="00E360FB">
    <w:pPr>
      <w:pStyle w:val="Pieddepage"/>
      <w:tabs>
        <w:tab w:val="clear" w:pos="4320"/>
        <w:tab w:val="clear" w:pos="8640"/>
      </w:tabs>
      <w:ind w:left="-851" w:righ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98F9" w14:textId="77777777" w:rsidR="00B54C9A" w:rsidRDefault="00B54C9A" w:rsidP="00C645BC">
      <w:r>
        <w:separator/>
      </w:r>
    </w:p>
  </w:footnote>
  <w:footnote w:type="continuationSeparator" w:id="0">
    <w:p w14:paraId="31567662" w14:textId="77777777" w:rsidR="00B54C9A" w:rsidRDefault="00B54C9A" w:rsidP="00C64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9ADD" w14:textId="77777777" w:rsidR="00C645BC" w:rsidRDefault="00C645BC" w:rsidP="00C645BC">
    <w:pPr>
      <w:pStyle w:val="En-tte"/>
      <w:tabs>
        <w:tab w:val="clear" w:pos="4320"/>
        <w:tab w:val="clear" w:pos="8640"/>
      </w:tabs>
      <w:ind w:left="-1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9BD0" w14:textId="6E24AFAA" w:rsidR="00F80C88" w:rsidRDefault="00F80C88" w:rsidP="00335330">
    <w:pPr>
      <w:pStyle w:val="En-tte"/>
      <w:tabs>
        <w:tab w:val="clear" w:pos="4320"/>
        <w:tab w:val="clear" w:pos="8640"/>
      </w:tabs>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2D69" w14:textId="77777777" w:rsidR="009E7EC3" w:rsidRPr="00D55835" w:rsidRDefault="009E7EC3" w:rsidP="00D558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6E4D"/>
    <w:multiLevelType w:val="hybridMultilevel"/>
    <w:tmpl w:val="26AAC6A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BB6014D"/>
    <w:multiLevelType w:val="hybridMultilevel"/>
    <w:tmpl w:val="953C9BEE"/>
    <w:lvl w:ilvl="0" w:tplc="8C0C5054">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131421D"/>
    <w:multiLevelType w:val="hybridMultilevel"/>
    <w:tmpl w:val="175A41E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143C7F8F"/>
    <w:multiLevelType w:val="hybridMultilevel"/>
    <w:tmpl w:val="AF549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B7449DD"/>
    <w:multiLevelType w:val="hybridMultilevel"/>
    <w:tmpl w:val="CC2C2C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14D1ED1"/>
    <w:multiLevelType w:val="hybridMultilevel"/>
    <w:tmpl w:val="D522F14A"/>
    <w:lvl w:ilvl="0" w:tplc="8C0C5054">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3CB234C"/>
    <w:multiLevelType w:val="hybridMultilevel"/>
    <w:tmpl w:val="0D722DC4"/>
    <w:lvl w:ilvl="0" w:tplc="8C0C5054">
      <w:numFmt w:val="bullet"/>
      <w:lvlText w:val="•"/>
      <w:lvlJc w:val="left"/>
      <w:pPr>
        <w:ind w:left="360" w:hanging="360"/>
      </w:pPr>
      <w:rPr>
        <w:rFonts w:ascii="Times New Roman" w:eastAsiaTheme="minorHAnsi" w:hAnsi="Times New Roman"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341721DC"/>
    <w:multiLevelType w:val="hybridMultilevel"/>
    <w:tmpl w:val="409E3736"/>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8" w15:restartNumberingAfterBreak="0">
    <w:nsid w:val="38456FF8"/>
    <w:multiLevelType w:val="hybridMultilevel"/>
    <w:tmpl w:val="E6A031F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AC5470F"/>
    <w:multiLevelType w:val="hybridMultilevel"/>
    <w:tmpl w:val="C8005988"/>
    <w:lvl w:ilvl="0" w:tplc="8C0C5054">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B0B4605"/>
    <w:multiLevelType w:val="hybridMultilevel"/>
    <w:tmpl w:val="CAA0E754"/>
    <w:lvl w:ilvl="0" w:tplc="8C0C5054">
      <w:numFmt w:val="bullet"/>
      <w:lvlText w:val="•"/>
      <w:lvlJc w:val="left"/>
      <w:pPr>
        <w:ind w:left="360" w:hanging="360"/>
      </w:pPr>
      <w:rPr>
        <w:rFonts w:ascii="Times New Roman" w:eastAsiaTheme="minorHAnsi" w:hAnsi="Times New Roman"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3BB67E75"/>
    <w:multiLevelType w:val="hybridMultilevel"/>
    <w:tmpl w:val="66B476E2"/>
    <w:lvl w:ilvl="0" w:tplc="88E8BDD8">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BBD7064"/>
    <w:multiLevelType w:val="hybridMultilevel"/>
    <w:tmpl w:val="23AE30D6"/>
    <w:lvl w:ilvl="0" w:tplc="8C0C5054">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4071611"/>
    <w:multiLevelType w:val="hybridMultilevel"/>
    <w:tmpl w:val="CE2286F8"/>
    <w:lvl w:ilvl="0" w:tplc="8C0C5054">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DD10D71"/>
    <w:multiLevelType w:val="hybridMultilevel"/>
    <w:tmpl w:val="2A987B02"/>
    <w:lvl w:ilvl="0" w:tplc="8C0C5054">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A425E17"/>
    <w:multiLevelType w:val="hybridMultilevel"/>
    <w:tmpl w:val="CF34B5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58853EB"/>
    <w:multiLevelType w:val="hybridMultilevel"/>
    <w:tmpl w:val="3E440A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6144B6F"/>
    <w:multiLevelType w:val="hybridMultilevel"/>
    <w:tmpl w:val="2C680AEC"/>
    <w:lvl w:ilvl="0" w:tplc="8C0C5054">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06A6E9D"/>
    <w:multiLevelType w:val="hybridMultilevel"/>
    <w:tmpl w:val="B5BA24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0820DD3"/>
    <w:multiLevelType w:val="hybridMultilevel"/>
    <w:tmpl w:val="F64C7682"/>
    <w:lvl w:ilvl="0" w:tplc="CADCF7CE">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AC4FAC"/>
    <w:multiLevelType w:val="hybridMultilevel"/>
    <w:tmpl w:val="DA6AD7C8"/>
    <w:lvl w:ilvl="0" w:tplc="8C0C5054">
      <w:numFmt w:val="bullet"/>
      <w:lvlText w:val="•"/>
      <w:lvlJc w:val="left"/>
      <w:pPr>
        <w:ind w:left="426" w:hanging="360"/>
      </w:pPr>
      <w:rPr>
        <w:rFonts w:ascii="Times New Roman" w:eastAsiaTheme="minorHAnsi" w:hAnsi="Times New Roman" w:cs="Times New Roman" w:hint="default"/>
      </w:rPr>
    </w:lvl>
    <w:lvl w:ilvl="1" w:tplc="0C0C0003" w:tentative="1">
      <w:start w:val="1"/>
      <w:numFmt w:val="bullet"/>
      <w:lvlText w:val="o"/>
      <w:lvlJc w:val="left"/>
      <w:pPr>
        <w:ind w:left="1146" w:hanging="360"/>
      </w:pPr>
      <w:rPr>
        <w:rFonts w:ascii="Courier New" w:hAnsi="Courier New" w:cs="Courier New" w:hint="default"/>
      </w:rPr>
    </w:lvl>
    <w:lvl w:ilvl="2" w:tplc="0C0C0005" w:tentative="1">
      <w:start w:val="1"/>
      <w:numFmt w:val="bullet"/>
      <w:lvlText w:val=""/>
      <w:lvlJc w:val="left"/>
      <w:pPr>
        <w:ind w:left="1866" w:hanging="360"/>
      </w:pPr>
      <w:rPr>
        <w:rFonts w:ascii="Wingdings" w:hAnsi="Wingdings" w:hint="default"/>
      </w:rPr>
    </w:lvl>
    <w:lvl w:ilvl="3" w:tplc="0C0C0001" w:tentative="1">
      <w:start w:val="1"/>
      <w:numFmt w:val="bullet"/>
      <w:lvlText w:val=""/>
      <w:lvlJc w:val="left"/>
      <w:pPr>
        <w:ind w:left="2586" w:hanging="360"/>
      </w:pPr>
      <w:rPr>
        <w:rFonts w:ascii="Symbol" w:hAnsi="Symbol" w:hint="default"/>
      </w:rPr>
    </w:lvl>
    <w:lvl w:ilvl="4" w:tplc="0C0C0003" w:tentative="1">
      <w:start w:val="1"/>
      <w:numFmt w:val="bullet"/>
      <w:lvlText w:val="o"/>
      <w:lvlJc w:val="left"/>
      <w:pPr>
        <w:ind w:left="3306" w:hanging="360"/>
      </w:pPr>
      <w:rPr>
        <w:rFonts w:ascii="Courier New" w:hAnsi="Courier New" w:cs="Courier New" w:hint="default"/>
      </w:rPr>
    </w:lvl>
    <w:lvl w:ilvl="5" w:tplc="0C0C0005" w:tentative="1">
      <w:start w:val="1"/>
      <w:numFmt w:val="bullet"/>
      <w:lvlText w:val=""/>
      <w:lvlJc w:val="left"/>
      <w:pPr>
        <w:ind w:left="4026" w:hanging="360"/>
      </w:pPr>
      <w:rPr>
        <w:rFonts w:ascii="Wingdings" w:hAnsi="Wingdings" w:hint="default"/>
      </w:rPr>
    </w:lvl>
    <w:lvl w:ilvl="6" w:tplc="0C0C0001" w:tentative="1">
      <w:start w:val="1"/>
      <w:numFmt w:val="bullet"/>
      <w:lvlText w:val=""/>
      <w:lvlJc w:val="left"/>
      <w:pPr>
        <w:ind w:left="4746" w:hanging="360"/>
      </w:pPr>
      <w:rPr>
        <w:rFonts w:ascii="Symbol" w:hAnsi="Symbol" w:hint="default"/>
      </w:rPr>
    </w:lvl>
    <w:lvl w:ilvl="7" w:tplc="0C0C0003" w:tentative="1">
      <w:start w:val="1"/>
      <w:numFmt w:val="bullet"/>
      <w:lvlText w:val="o"/>
      <w:lvlJc w:val="left"/>
      <w:pPr>
        <w:ind w:left="5466" w:hanging="360"/>
      </w:pPr>
      <w:rPr>
        <w:rFonts w:ascii="Courier New" w:hAnsi="Courier New" w:cs="Courier New" w:hint="default"/>
      </w:rPr>
    </w:lvl>
    <w:lvl w:ilvl="8" w:tplc="0C0C0005" w:tentative="1">
      <w:start w:val="1"/>
      <w:numFmt w:val="bullet"/>
      <w:lvlText w:val=""/>
      <w:lvlJc w:val="left"/>
      <w:pPr>
        <w:ind w:left="6186" w:hanging="360"/>
      </w:pPr>
      <w:rPr>
        <w:rFonts w:ascii="Wingdings" w:hAnsi="Wingdings" w:hint="default"/>
      </w:rPr>
    </w:lvl>
  </w:abstractNum>
  <w:abstractNum w:abstractNumId="21" w15:restartNumberingAfterBreak="0">
    <w:nsid w:val="79847F74"/>
    <w:multiLevelType w:val="hybridMultilevel"/>
    <w:tmpl w:val="B2BEACA0"/>
    <w:lvl w:ilvl="0" w:tplc="8C0C5054">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65827143">
    <w:abstractNumId w:val="11"/>
  </w:num>
  <w:num w:numId="2" w16cid:durableId="1238517113">
    <w:abstractNumId w:val="7"/>
  </w:num>
  <w:num w:numId="3" w16cid:durableId="1903829738">
    <w:abstractNumId w:val="19"/>
  </w:num>
  <w:num w:numId="4" w16cid:durableId="734470164">
    <w:abstractNumId w:val="17"/>
  </w:num>
  <w:num w:numId="5" w16cid:durableId="1226643030">
    <w:abstractNumId w:val="1"/>
  </w:num>
  <w:num w:numId="6" w16cid:durableId="154612083">
    <w:abstractNumId w:val="9"/>
  </w:num>
  <w:num w:numId="7" w16cid:durableId="523398924">
    <w:abstractNumId w:val="20"/>
  </w:num>
  <w:num w:numId="8" w16cid:durableId="246110832">
    <w:abstractNumId w:val="14"/>
  </w:num>
  <w:num w:numId="9" w16cid:durableId="1462647992">
    <w:abstractNumId w:val="5"/>
  </w:num>
  <w:num w:numId="10" w16cid:durableId="1410039384">
    <w:abstractNumId w:val="10"/>
  </w:num>
  <w:num w:numId="11" w16cid:durableId="1564296831">
    <w:abstractNumId w:val="6"/>
  </w:num>
  <w:num w:numId="12" w16cid:durableId="556816622">
    <w:abstractNumId w:val="15"/>
  </w:num>
  <w:num w:numId="13" w16cid:durableId="1224676902">
    <w:abstractNumId w:val="18"/>
  </w:num>
  <w:num w:numId="14" w16cid:durableId="1290284762">
    <w:abstractNumId w:val="2"/>
  </w:num>
  <w:num w:numId="15" w16cid:durableId="68423709">
    <w:abstractNumId w:val="16"/>
  </w:num>
  <w:num w:numId="16" w16cid:durableId="547693250">
    <w:abstractNumId w:val="3"/>
  </w:num>
  <w:num w:numId="17" w16cid:durableId="781191723">
    <w:abstractNumId w:val="12"/>
  </w:num>
  <w:num w:numId="18" w16cid:durableId="1068572375">
    <w:abstractNumId w:val="13"/>
  </w:num>
  <w:num w:numId="19" w16cid:durableId="817305006">
    <w:abstractNumId w:val="8"/>
  </w:num>
  <w:num w:numId="20" w16cid:durableId="420176906">
    <w:abstractNumId w:val="0"/>
  </w:num>
  <w:num w:numId="21" w16cid:durableId="168184646">
    <w:abstractNumId w:val="21"/>
  </w:num>
  <w:num w:numId="22" w16cid:durableId="1852061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BC"/>
    <w:rsid w:val="00011199"/>
    <w:rsid w:val="00041964"/>
    <w:rsid w:val="000459D6"/>
    <w:rsid w:val="00074A42"/>
    <w:rsid w:val="0008584F"/>
    <w:rsid w:val="00087EB1"/>
    <w:rsid w:val="0009298D"/>
    <w:rsid w:val="0009706E"/>
    <w:rsid w:val="000A1365"/>
    <w:rsid w:val="000C651E"/>
    <w:rsid w:val="000E15B7"/>
    <w:rsid w:val="000F3A0A"/>
    <w:rsid w:val="00146476"/>
    <w:rsid w:val="00161EA9"/>
    <w:rsid w:val="00182642"/>
    <w:rsid w:val="00183ACD"/>
    <w:rsid w:val="00185794"/>
    <w:rsid w:val="0019506F"/>
    <w:rsid w:val="00196295"/>
    <w:rsid w:val="001B005B"/>
    <w:rsid w:val="001B4A8F"/>
    <w:rsid w:val="001C1B7B"/>
    <w:rsid w:val="00203CEF"/>
    <w:rsid w:val="00222155"/>
    <w:rsid w:val="002424B2"/>
    <w:rsid w:val="0024486B"/>
    <w:rsid w:val="002554E9"/>
    <w:rsid w:val="00265D6B"/>
    <w:rsid w:val="002808C4"/>
    <w:rsid w:val="00290FB4"/>
    <w:rsid w:val="00291ADB"/>
    <w:rsid w:val="002B09DC"/>
    <w:rsid w:val="002B57BE"/>
    <w:rsid w:val="002B761F"/>
    <w:rsid w:val="002C4725"/>
    <w:rsid w:val="003011AC"/>
    <w:rsid w:val="003044D6"/>
    <w:rsid w:val="00324182"/>
    <w:rsid w:val="00335330"/>
    <w:rsid w:val="00340205"/>
    <w:rsid w:val="003418AC"/>
    <w:rsid w:val="00346F7F"/>
    <w:rsid w:val="003669F6"/>
    <w:rsid w:val="00396974"/>
    <w:rsid w:val="003C0F1C"/>
    <w:rsid w:val="003C4757"/>
    <w:rsid w:val="003D3BED"/>
    <w:rsid w:val="003E0A49"/>
    <w:rsid w:val="003F652A"/>
    <w:rsid w:val="00422E71"/>
    <w:rsid w:val="00427297"/>
    <w:rsid w:val="0043212D"/>
    <w:rsid w:val="00435904"/>
    <w:rsid w:val="00465A16"/>
    <w:rsid w:val="00471C3E"/>
    <w:rsid w:val="00481708"/>
    <w:rsid w:val="00484E4E"/>
    <w:rsid w:val="00493770"/>
    <w:rsid w:val="004A112F"/>
    <w:rsid w:val="004A17A7"/>
    <w:rsid w:val="004A2740"/>
    <w:rsid w:val="004B0A75"/>
    <w:rsid w:val="004B70C4"/>
    <w:rsid w:val="004D0F57"/>
    <w:rsid w:val="004E0327"/>
    <w:rsid w:val="004E323E"/>
    <w:rsid w:val="00512054"/>
    <w:rsid w:val="0051218E"/>
    <w:rsid w:val="00545025"/>
    <w:rsid w:val="005473A3"/>
    <w:rsid w:val="0055614E"/>
    <w:rsid w:val="005705C5"/>
    <w:rsid w:val="00572226"/>
    <w:rsid w:val="00592138"/>
    <w:rsid w:val="005A7207"/>
    <w:rsid w:val="005B1C3E"/>
    <w:rsid w:val="005B5C0F"/>
    <w:rsid w:val="005C71E7"/>
    <w:rsid w:val="005E081B"/>
    <w:rsid w:val="005E6FF1"/>
    <w:rsid w:val="006251EB"/>
    <w:rsid w:val="00633068"/>
    <w:rsid w:val="00647FB3"/>
    <w:rsid w:val="006664A8"/>
    <w:rsid w:val="00684F98"/>
    <w:rsid w:val="0069124E"/>
    <w:rsid w:val="006941A8"/>
    <w:rsid w:val="0069489F"/>
    <w:rsid w:val="006A3C79"/>
    <w:rsid w:val="006B3D42"/>
    <w:rsid w:val="006D3CC2"/>
    <w:rsid w:val="006F57DD"/>
    <w:rsid w:val="00710CD3"/>
    <w:rsid w:val="007123E1"/>
    <w:rsid w:val="00712924"/>
    <w:rsid w:val="00721CD1"/>
    <w:rsid w:val="007245E8"/>
    <w:rsid w:val="00730E69"/>
    <w:rsid w:val="007326D2"/>
    <w:rsid w:val="00757965"/>
    <w:rsid w:val="00766B4E"/>
    <w:rsid w:val="00785797"/>
    <w:rsid w:val="00786B8C"/>
    <w:rsid w:val="007A1685"/>
    <w:rsid w:val="007D739D"/>
    <w:rsid w:val="007F3FAC"/>
    <w:rsid w:val="007F575D"/>
    <w:rsid w:val="00803258"/>
    <w:rsid w:val="00804127"/>
    <w:rsid w:val="00856123"/>
    <w:rsid w:val="00862C22"/>
    <w:rsid w:val="008771FD"/>
    <w:rsid w:val="00883677"/>
    <w:rsid w:val="00887180"/>
    <w:rsid w:val="00896B9F"/>
    <w:rsid w:val="008A0316"/>
    <w:rsid w:val="008B6842"/>
    <w:rsid w:val="008D00E8"/>
    <w:rsid w:val="008D5B48"/>
    <w:rsid w:val="008D5E8A"/>
    <w:rsid w:val="00910D3F"/>
    <w:rsid w:val="00954F2F"/>
    <w:rsid w:val="00957ABA"/>
    <w:rsid w:val="009E4A31"/>
    <w:rsid w:val="009E7EC3"/>
    <w:rsid w:val="00A32A8C"/>
    <w:rsid w:val="00A32ED1"/>
    <w:rsid w:val="00A3412B"/>
    <w:rsid w:val="00A6084D"/>
    <w:rsid w:val="00A97290"/>
    <w:rsid w:val="00A97EA6"/>
    <w:rsid w:val="00AF4D74"/>
    <w:rsid w:val="00B04FA8"/>
    <w:rsid w:val="00B23FAC"/>
    <w:rsid w:val="00B260CA"/>
    <w:rsid w:val="00B355CF"/>
    <w:rsid w:val="00B439DF"/>
    <w:rsid w:val="00B43F44"/>
    <w:rsid w:val="00B459EA"/>
    <w:rsid w:val="00B54C9A"/>
    <w:rsid w:val="00B7791E"/>
    <w:rsid w:val="00BA5E8D"/>
    <w:rsid w:val="00BB6C5A"/>
    <w:rsid w:val="00BB7A83"/>
    <w:rsid w:val="00BF7CA7"/>
    <w:rsid w:val="00C20A99"/>
    <w:rsid w:val="00C24A6C"/>
    <w:rsid w:val="00C449FB"/>
    <w:rsid w:val="00C52FB0"/>
    <w:rsid w:val="00C56193"/>
    <w:rsid w:val="00C62E60"/>
    <w:rsid w:val="00C645BC"/>
    <w:rsid w:val="00C70F1C"/>
    <w:rsid w:val="00CA3BC9"/>
    <w:rsid w:val="00CD7325"/>
    <w:rsid w:val="00CE4052"/>
    <w:rsid w:val="00D137FA"/>
    <w:rsid w:val="00D1477E"/>
    <w:rsid w:val="00D17FF0"/>
    <w:rsid w:val="00D356DD"/>
    <w:rsid w:val="00D55835"/>
    <w:rsid w:val="00D77CA7"/>
    <w:rsid w:val="00D8675D"/>
    <w:rsid w:val="00D946B6"/>
    <w:rsid w:val="00DD17D9"/>
    <w:rsid w:val="00DF0930"/>
    <w:rsid w:val="00E013F1"/>
    <w:rsid w:val="00E134EB"/>
    <w:rsid w:val="00E304B1"/>
    <w:rsid w:val="00E360FB"/>
    <w:rsid w:val="00E80133"/>
    <w:rsid w:val="00E8344B"/>
    <w:rsid w:val="00E92A45"/>
    <w:rsid w:val="00EA19CA"/>
    <w:rsid w:val="00EA6935"/>
    <w:rsid w:val="00EC7D82"/>
    <w:rsid w:val="00ED7E71"/>
    <w:rsid w:val="00F27A04"/>
    <w:rsid w:val="00F31B14"/>
    <w:rsid w:val="00F4318E"/>
    <w:rsid w:val="00F55EC8"/>
    <w:rsid w:val="00F56F8F"/>
    <w:rsid w:val="00F61F39"/>
    <w:rsid w:val="00F77045"/>
    <w:rsid w:val="00F80C88"/>
    <w:rsid w:val="00F85E1E"/>
    <w:rsid w:val="00FA4B73"/>
    <w:rsid w:val="00FB1505"/>
    <w:rsid w:val="00FB3341"/>
    <w:rsid w:val="00FB44C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288E6"/>
  <w15:docId w15:val="{79A9BC6B-D4BC-4CE4-9364-6789D578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182"/>
  </w:style>
  <w:style w:type="paragraph" w:styleId="Titre1">
    <w:name w:val="heading 1"/>
    <w:basedOn w:val="Normal"/>
    <w:next w:val="Normal"/>
    <w:link w:val="Titre1Car"/>
    <w:uiPriority w:val="9"/>
    <w:qFormat/>
    <w:rsid w:val="000E15B7"/>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0E15B7"/>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Titre3">
    <w:name w:val="heading 3"/>
    <w:basedOn w:val="Normal"/>
    <w:next w:val="Normal"/>
    <w:link w:val="Titre3Car"/>
    <w:uiPriority w:val="9"/>
    <w:unhideWhenUsed/>
    <w:qFormat/>
    <w:rsid w:val="000E15B7"/>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0E15B7"/>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0E15B7"/>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0E15B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0E15B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0E15B7"/>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0E15B7"/>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645BC"/>
    <w:pPr>
      <w:tabs>
        <w:tab w:val="center" w:pos="4320"/>
        <w:tab w:val="right" w:pos="8640"/>
      </w:tabs>
    </w:pPr>
  </w:style>
  <w:style w:type="character" w:customStyle="1" w:styleId="En-tteCar">
    <w:name w:val="En-tête Car"/>
    <w:basedOn w:val="Policepardfaut"/>
    <w:link w:val="En-tte"/>
    <w:uiPriority w:val="99"/>
    <w:rsid w:val="00C645BC"/>
  </w:style>
  <w:style w:type="paragraph" w:styleId="Pieddepage">
    <w:name w:val="footer"/>
    <w:basedOn w:val="Normal"/>
    <w:link w:val="PieddepageCar"/>
    <w:uiPriority w:val="99"/>
    <w:unhideWhenUsed/>
    <w:rsid w:val="00C645BC"/>
    <w:pPr>
      <w:tabs>
        <w:tab w:val="center" w:pos="4320"/>
        <w:tab w:val="right" w:pos="8640"/>
      </w:tabs>
    </w:pPr>
  </w:style>
  <w:style w:type="character" w:customStyle="1" w:styleId="PieddepageCar">
    <w:name w:val="Pied de page Car"/>
    <w:basedOn w:val="Policepardfaut"/>
    <w:link w:val="Pieddepage"/>
    <w:uiPriority w:val="99"/>
    <w:rsid w:val="00C645BC"/>
  </w:style>
  <w:style w:type="paragraph" w:styleId="Textedebulles">
    <w:name w:val="Balloon Text"/>
    <w:basedOn w:val="Normal"/>
    <w:link w:val="TextedebullesCar"/>
    <w:uiPriority w:val="99"/>
    <w:semiHidden/>
    <w:unhideWhenUsed/>
    <w:rsid w:val="00C645BC"/>
    <w:rPr>
      <w:rFonts w:ascii="Tahoma" w:hAnsi="Tahoma" w:cs="Tahoma"/>
      <w:sz w:val="16"/>
      <w:szCs w:val="16"/>
    </w:rPr>
  </w:style>
  <w:style w:type="character" w:customStyle="1" w:styleId="TextedebullesCar">
    <w:name w:val="Texte de bulles Car"/>
    <w:basedOn w:val="Policepardfaut"/>
    <w:link w:val="Textedebulles"/>
    <w:uiPriority w:val="99"/>
    <w:semiHidden/>
    <w:rsid w:val="00C645BC"/>
    <w:rPr>
      <w:rFonts w:ascii="Tahoma" w:hAnsi="Tahoma" w:cs="Tahoma"/>
      <w:sz w:val="16"/>
      <w:szCs w:val="16"/>
    </w:rPr>
  </w:style>
  <w:style w:type="paragraph" w:styleId="Paragraphedeliste">
    <w:name w:val="List Paragraph"/>
    <w:basedOn w:val="Normal"/>
    <w:uiPriority w:val="34"/>
    <w:qFormat/>
    <w:rsid w:val="00F80C88"/>
    <w:pPr>
      <w:ind w:left="720"/>
      <w:contextualSpacing/>
    </w:pPr>
  </w:style>
  <w:style w:type="table" w:styleId="Grilledutableau">
    <w:name w:val="Table Grid"/>
    <w:basedOn w:val="TableauNormal"/>
    <w:uiPriority w:val="39"/>
    <w:rsid w:val="00F80C88"/>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9E7EC3"/>
  </w:style>
  <w:style w:type="character" w:styleId="Hyperlien">
    <w:name w:val="Hyperlink"/>
    <w:uiPriority w:val="99"/>
    <w:rsid w:val="009E7EC3"/>
    <w:rPr>
      <w:color w:val="0000FF"/>
      <w:u w:val="single"/>
    </w:rPr>
  </w:style>
  <w:style w:type="character" w:styleId="Marquedecommentaire">
    <w:name w:val="annotation reference"/>
    <w:basedOn w:val="Policepardfaut"/>
    <w:uiPriority w:val="99"/>
    <w:semiHidden/>
    <w:unhideWhenUsed/>
    <w:rsid w:val="0051218E"/>
    <w:rPr>
      <w:sz w:val="16"/>
      <w:szCs w:val="16"/>
    </w:rPr>
  </w:style>
  <w:style w:type="paragraph" w:styleId="Commentaire">
    <w:name w:val="annotation text"/>
    <w:basedOn w:val="Normal"/>
    <w:link w:val="CommentaireCar"/>
    <w:uiPriority w:val="99"/>
    <w:unhideWhenUsed/>
    <w:rsid w:val="0051218E"/>
    <w:pPr>
      <w:spacing w:after="160"/>
    </w:pPr>
    <w:rPr>
      <w:rFonts w:asciiTheme="minorHAnsi" w:hAnsiTheme="minorHAnsi" w:cstheme="minorBidi"/>
      <w:kern w:val="2"/>
      <w:sz w:val="20"/>
      <w:szCs w:val="20"/>
      <w14:ligatures w14:val="standardContextual"/>
    </w:rPr>
  </w:style>
  <w:style w:type="character" w:customStyle="1" w:styleId="CommentaireCar">
    <w:name w:val="Commentaire Car"/>
    <w:basedOn w:val="Policepardfaut"/>
    <w:link w:val="Commentaire"/>
    <w:uiPriority w:val="99"/>
    <w:rsid w:val="0051218E"/>
    <w:rPr>
      <w:rFonts w:asciiTheme="minorHAnsi" w:hAnsiTheme="minorHAnsi" w:cstheme="minorBidi"/>
      <w:kern w:val="2"/>
      <w:sz w:val="20"/>
      <w:szCs w:val="20"/>
      <w14:ligatures w14:val="standardContextual"/>
    </w:rPr>
  </w:style>
  <w:style w:type="character" w:customStyle="1" w:styleId="Titre1Car">
    <w:name w:val="Titre 1 Car"/>
    <w:basedOn w:val="Policepardfaut"/>
    <w:link w:val="Titre1"/>
    <w:uiPriority w:val="9"/>
    <w:rsid w:val="000E15B7"/>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Titre2Car">
    <w:name w:val="Titre 2 Car"/>
    <w:basedOn w:val="Policepardfaut"/>
    <w:link w:val="Titre2"/>
    <w:uiPriority w:val="9"/>
    <w:semiHidden/>
    <w:rsid w:val="000E15B7"/>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Titre3Car">
    <w:name w:val="Titre 3 Car"/>
    <w:basedOn w:val="Policepardfaut"/>
    <w:link w:val="Titre3"/>
    <w:uiPriority w:val="9"/>
    <w:rsid w:val="000E15B7"/>
    <w:rPr>
      <w:rFonts w:asciiTheme="minorHAnsi" w:eastAsiaTheme="majorEastAsia" w:hAnsiTheme="minorHAnsi" w:cstheme="majorBidi"/>
      <w:color w:val="365F91" w:themeColor="accent1" w:themeShade="BF"/>
      <w:kern w:val="2"/>
      <w:sz w:val="28"/>
      <w:szCs w:val="28"/>
      <w14:ligatures w14:val="standardContextual"/>
    </w:rPr>
  </w:style>
  <w:style w:type="character" w:customStyle="1" w:styleId="Titre4Car">
    <w:name w:val="Titre 4 Car"/>
    <w:basedOn w:val="Policepardfaut"/>
    <w:link w:val="Titre4"/>
    <w:uiPriority w:val="9"/>
    <w:semiHidden/>
    <w:rsid w:val="000E15B7"/>
    <w:rPr>
      <w:rFonts w:asciiTheme="minorHAnsi" w:eastAsiaTheme="majorEastAsia" w:hAnsiTheme="minorHAnsi" w:cstheme="majorBidi"/>
      <w:i/>
      <w:iCs/>
      <w:color w:val="365F91" w:themeColor="accent1" w:themeShade="BF"/>
      <w:kern w:val="2"/>
      <w:sz w:val="24"/>
      <w:szCs w:val="24"/>
      <w14:ligatures w14:val="standardContextual"/>
    </w:rPr>
  </w:style>
  <w:style w:type="character" w:customStyle="1" w:styleId="Titre5Car">
    <w:name w:val="Titre 5 Car"/>
    <w:basedOn w:val="Policepardfaut"/>
    <w:link w:val="Titre5"/>
    <w:uiPriority w:val="9"/>
    <w:semiHidden/>
    <w:rsid w:val="000E15B7"/>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Titre6Car">
    <w:name w:val="Titre 6 Car"/>
    <w:basedOn w:val="Policepardfaut"/>
    <w:link w:val="Titre6"/>
    <w:uiPriority w:val="9"/>
    <w:semiHidden/>
    <w:rsid w:val="000E15B7"/>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Titre7Car">
    <w:name w:val="Titre 7 Car"/>
    <w:basedOn w:val="Policepardfaut"/>
    <w:link w:val="Titre7"/>
    <w:uiPriority w:val="9"/>
    <w:semiHidden/>
    <w:rsid w:val="000E15B7"/>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Titre8Car">
    <w:name w:val="Titre 8 Car"/>
    <w:basedOn w:val="Policepardfaut"/>
    <w:link w:val="Titre8"/>
    <w:uiPriority w:val="9"/>
    <w:semiHidden/>
    <w:rsid w:val="000E15B7"/>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Titre9Car">
    <w:name w:val="Titre 9 Car"/>
    <w:basedOn w:val="Policepardfaut"/>
    <w:link w:val="Titre9"/>
    <w:uiPriority w:val="9"/>
    <w:semiHidden/>
    <w:rsid w:val="000E15B7"/>
    <w:rPr>
      <w:rFonts w:asciiTheme="minorHAnsi" w:eastAsiaTheme="majorEastAsia" w:hAnsiTheme="minorHAnsi" w:cstheme="majorBidi"/>
      <w:color w:val="272727" w:themeColor="text1" w:themeTint="D8"/>
      <w:kern w:val="2"/>
      <w:sz w:val="24"/>
      <w:szCs w:val="24"/>
      <w14:ligatures w14:val="standardContextual"/>
    </w:rPr>
  </w:style>
  <w:style w:type="paragraph" w:styleId="Titre">
    <w:name w:val="Title"/>
    <w:basedOn w:val="Normal"/>
    <w:next w:val="Normal"/>
    <w:link w:val="TitreCar"/>
    <w:uiPriority w:val="10"/>
    <w:qFormat/>
    <w:rsid w:val="000E15B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0E15B7"/>
    <w:rPr>
      <w:rFonts w:asciiTheme="majorHAnsi" w:eastAsiaTheme="majorEastAsia" w:hAnsiTheme="majorHAnsi" w:cstheme="majorBidi"/>
      <w:spacing w:val="-10"/>
      <w:kern w:val="28"/>
      <w:sz w:val="56"/>
      <w:szCs w:val="56"/>
      <w14:ligatures w14:val="standardContextual"/>
    </w:rPr>
  </w:style>
  <w:style w:type="paragraph" w:styleId="Sous-titre">
    <w:name w:val="Subtitle"/>
    <w:basedOn w:val="Normal"/>
    <w:next w:val="Normal"/>
    <w:link w:val="Sous-titreCar"/>
    <w:uiPriority w:val="11"/>
    <w:qFormat/>
    <w:rsid w:val="000E15B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0E15B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ation">
    <w:name w:val="Quote"/>
    <w:basedOn w:val="Normal"/>
    <w:next w:val="Normal"/>
    <w:link w:val="CitationCar"/>
    <w:uiPriority w:val="29"/>
    <w:qFormat/>
    <w:rsid w:val="000E15B7"/>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0E15B7"/>
    <w:rPr>
      <w:rFonts w:asciiTheme="minorHAnsi" w:hAnsiTheme="minorHAnsi" w:cstheme="minorBidi"/>
      <w:i/>
      <w:iCs/>
      <w:color w:val="404040" w:themeColor="text1" w:themeTint="BF"/>
      <w:kern w:val="2"/>
      <w:sz w:val="24"/>
      <w:szCs w:val="24"/>
      <w14:ligatures w14:val="standardContextual"/>
    </w:rPr>
  </w:style>
  <w:style w:type="character" w:styleId="Accentuationintense">
    <w:name w:val="Intense Emphasis"/>
    <w:basedOn w:val="Policepardfaut"/>
    <w:uiPriority w:val="21"/>
    <w:qFormat/>
    <w:rsid w:val="000E15B7"/>
    <w:rPr>
      <w:i/>
      <w:iCs/>
      <w:color w:val="365F91" w:themeColor="accent1" w:themeShade="BF"/>
    </w:rPr>
  </w:style>
  <w:style w:type="paragraph" w:styleId="Citationintense">
    <w:name w:val="Intense Quote"/>
    <w:basedOn w:val="Normal"/>
    <w:next w:val="Normal"/>
    <w:link w:val="CitationintenseCar"/>
    <w:uiPriority w:val="30"/>
    <w:qFormat/>
    <w:rsid w:val="000E15B7"/>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hAnsiTheme="minorHAnsi" w:cstheme="minorBidi"/>
      <w:i/>
      <w:iCs/>
      <w:color w:val="365F9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0E15B7"/>
    <w:rPr>
      <w:rFonts w:asciiTheme="minorHAnsi" w:hAnsiTheme="minorHAnsi" w:cstheme="minorBidi"/>
      <w:i/>
      <w:iCs/>
      <w:color w:val="365F91" w:themeColor="accent1" w:themeShade="BF"/>
      <w:kern w:val="2"/>
      <w:sz w:val="24"/>
      <w:szCs w:val="24"/>
      <w14:ligatures w14:val="standardContextual"/>
    </w:rPr>
  </w:style>
  <w:style w:type="character" w:styleId="Rfrenceintense">
    <w:name w:val="Intense Reference"/>
    <w:basedOn w:val="Policepardfaut"/>
    <w:uiPriority w:val="32"/>
    <w:qFormat/>
    <w:rsid w:val="000E15B7"/>
    <w:rPr>
      <w:b/>
      <w:bCs/>
      <w:smallCaps/>
      <w:color w:val="365F91" w:themeColor="accent1" w:themeShade="BF"/>
      <w:spacing w:val="5"/>
    </w:rPr>
  </w:style>
  <w:style w:type="paragraph" w:styleId="Objetducommentaire">
    <w:name w:val="annotation subject"/>
    <w:basedOn w:val="Commentaire"/>
    <w:next w:val="Commentaire"/>
    <w:link w:val="ObjetducommentaireCar"/>
    <w:uiPriority w:val="99"/>
    <w:semiHidden/>
    <w:unhideWhenUsed/>
    <w:rsid w:val="000E15B7"/>
    <w:rPr>
      <w:b/>
      <w:bCs/>
    </w:rPr>
  </w:style>
  <w:style w:type="character" w:customStyle="1" w:styleId="ObjetducommentaireCar">
    <w:name w:val="Objet du commentaire Car"/>
    <w:basedOn w:val="CommentaireCar"/>
    <w:link w:val="Objetducommentaire"/>
    <w:uiPriority w:val="99"/>
    <w:semiHidden/>
    <w:rsid w:val="000E15B7"/>
    <w:rPr>
      <w:rFonts w:asciiTheme="minorHAnsi" w:hAnsiTheme="minorHAnsi" w:cstheme="minorBidi"/>
      <w:b/>
      <w:bCs/>
      <w:kern w:val="2"/>
      <w:sz w:val="20"/>
      <w:szCs w:val="20"/>
      <w14:ligatures w14:val="standardContextual"/>
    </w:rPr>
  </w:style>
  <w:style w:type="paragraph" w:styleId="Rvision">
    <w:name w:val="Revision"/>
    <w:hidden/>
    <w:uiPriority w:val="99"/>
    <w:semiHidden/>
    <w:rsid w:val="000E15B7"/>
    <w:rPr>
      <w:rFonts w:asciiTheme="minorHAnsi" w:hAnsiTheme="minorHAnsi" w:cstheme="minorBidi"/>
      <w:kern w:val="2"/>
      <w:sz w:val="24"/>
      <w:szCs w:val="24"/>
      <w14:ligatures w14:val="standardContextual"/>
    </w:rPr>
  </w:style>
  <w:style w:type="paragraph" w:styleId="NormalWeb">
    <w:name w:val="Normal (Web)"/>
    <w:basedOn w:val="Normal"/>
    <w:uiPriority w:val="99"/>
    <w:semiHidden/>
    <w:unhideWhenUsed/>
    <w:rsid w:val="000E15B7"/>
    <w:pPr>
      <w:spacing w:after="160" w:line="278" w:lineRule="auto"/>
    </w:pPr>
    <w:rPr>
      <w:rFonts w:ascii="Times New Roman" w:hAnsi="Times New Roman" w:cs="Times New Roman"/>
      <w:kern w:val="2"/>
      <w:sz w:val="24"/>
      <w:szCs w:val="24"/>
      <w14:ligatures w14:val="standardContextual"/>
    </w:rPr>
  </w:style>
  <w:style w:type="character" w:styleId="Mentionnonrsolue">
    <w:name w:val="Unresolved Mention"/>
    <w:basedOn w:val="Policepardfaut"/>
    <w:uiPriority w:val="99"/>
    <w:semiHidden/>
    <w:unhideWhenUsed/>
    <w:rsid w:val="000E15B7"/>
    <w:rPr>
      <w:color w:val="605E5C"/>
      <w:shd w:val="clear" w:color="auto" w:fill="E1DFDD"/>
    </w:rPr>
  </w:style>
  <w:style w:type="character" w:styleId="Lienvisit">
    <w:name w:val="FollowedHyperlink"/>
    <w:basedOn w:val="Policepardfaut"/>
    <w:uiPriority w:val="99"/>
    <w:semiHidden/>
    <w:unhideWhenUsed/>
    <w:rsid w:val="00A32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grireseau.net/videos/115152/etat-des-lieux-de-la-resistance-au-quebe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rireseau.net/videos/115153/prevention-et-gestion-de-la-resistance-aux-champ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grireseau.net/videos/115151/developpement-de-la-resistance-mecanismes-de-fonctionne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rp.hc-sc.gc.ca/ls-re/index-fra.php"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A7A9E-B0CA-40C0-A446-B8261DA4A0F0}">
  <ds:schemaRefs>
    <ds:schemaRef ds:uri="http://schemas.openxmlformats.org/officeDocument/2006/bibliography"/>
  </ds:schemaRefs>
</ds:datastoreItem>
</file>

<file path=docMetadata/LabelInfo.xml><?xml version="1.0" encoding="utf-8"?>
<clbl:labelList xmlns:clbl="http://schemas.microsoft.com/office/2020/mipLabelMetadata">
  <clbl:label id="{3143a543-edee-49dc-bd20-22d7a8454e52}" enabled="0" method="" siteId="{3143a543-edee-49dc-bd20-22d7a8454e52}"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13</Pages>
  <Words>4312</Words>
  <Characters>23720</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Mapaq</Company>
  <LinksUpToDate>false</LinksUpToDate>
  <CharactersWithSpaces>27977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Ouellet Cindy (DP) (Québec)</dc:creator>
  <cp:lastModifiedBy>Vivancos Julien (DP) (Québec)</cp:lastModifiedBy>
  <cp:revision>16</cp:revision>
  <cp:lastPrinted>2017-05-04T18:00:00Z</cp:lastPrinted>
  <dcterms:created xsi:type="dcterms:W3CDTF">2026-04-23T15:17:00Z</dcterms:created>
  <dcterms:modified xsi:type="dcterms:W3CDTF">2026-04-28T20:28:00Z</dcterms:modified>
</cp:coreProperties>
</file>